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1E2EF" w14:textId="770F4E5C" w:rsidR="0059447D" w:rsidRPr="0052548E" w:rsidRDefault="00B360D6" w:rsidP="0059447D">
      <w:pPr>
        <w:tabs>
          <w:tab w:val="center" w:pos="4536"/>
          <w:tab w:val="right" w:pos="8280"/>
          <w:tab w:val="right" w:pos="9639"/>
        </w:tabs>
        <w:ind w:right="2"/>
        <w:rPr>
          <w:rFonts w:ascii="Arial" w:hAnsi="Arial" w:cs="Arial"/>
          <w:b/>
          <w:bCs/>
          <w:sz w:val="28"/>
        </w:rPr>
      </w:pPr>
      <w:bookmarkStart w:id="0" w:name="_Hlk83761920"/>
      <w:bookmarkStart w:id="1" w:name="_Hlk4231204"/>
      <w:bookmarkStart w:id="2" w:name="_Ref513464071"/>
      <w:r>
        <w:rPr>
          <w:rFonts w:ascii="Arial" w:hAnsi="Arial" w:cs="Arial"/>
          <w:b/>
          <w:bCs/>
          <w:sz w:val="28"/>
        </w:rPr>
        <w:t>3GPP TSG RAN WG1 #</w:t>
      </w:r>
      <w:bookmarkStart w:id="3" w:name="_Hlk83761909"/>
      <w:r>
        <w:rPr>
          <w:rFonts w:ascii="Arial" w:hAnsi="Arial" w:cs="Arial"/>
          <w:b/>
          <w:bCs/>
          <w:sz w:val="28"/>
        </w:rPr>
        <w:t>10</w:t>
      </w:r>
      <w:r w:rsidR="00E92EBA">
        <w:rPr>
          <w:rFonts w:ascii="Arial" w:hAnsi="Arial" w:cs="Arial"/>
          <w:b/>
          <w:bCs/>
          <w:sz w:val="28"/>
        </w:rPr>
        <w:t>7</w:t>
      </w:r>
      <w:r>
        <w:rPr>
          <w:rFonts w:ascii="Arial" w:hAnsi="Arial" w:cs="Arial"/>
          <w:b/>
          <w:bCs/>
          <w:sz w:val="28"/>
        </w:rPr>
        <w:t>-e</w:t>
      </w:r>
      <w:bookmarkEnd w:id="0"/>
      <w:r w:rsidR="0059447D">
        <w:rPr>
          <w:rFonts w:ascii="Arial" w:hAnsi="Arial" w:cs="Arial"/>
          <w:b/>
          <w:bCs/>
          <w:sz w:val="28"/>
        </w:rPr>
        <w:tab/>
      </w:r>
      <w:bookmarkEnd w:id="3"/>
      <w:r w:rsidR="0059447D">
        <w:rPr>
          <w:rFonts w:ascii="Arial" w:hAnsi="Arial" w:cs="Arial"/>
          <w:b/>
          <w:bCs/>
          <w:sz w:val="28"/>
        </w:rPr>
        <w:tab/>
      </w:r>
      <w:r w:rsidR="0059447D">
        <w:rPr>
          <w:rFonts w:ascii="Arial" w:hAnsi="Arial" w:cs="Arial"/>
          <w:b/>
          <w:bCs/>
          <w:sz w:val="28"/>
        </w:rPr>
        <w:tab/>
      </w:r>
      <w:r w:rsidR="0059447D" w:rsidRPr="0059447D">
        <w:rPr>
          <w:rFonts w:ascii="Arial" w:hAnsi="Arial" w:cs="Arial"/>
          <w:b/>
          <w:bCs/>
          <w:sz w:val="28"/>
        </w:rPr>
        <w:t>R1-</w:t>
      </w:r>
      <w:r w:rsidR="00C646BC" w:rsidRPr="0059447D">
        <w:rPr>
          <w:rFonts w:ascii="Arial" w:hAnsi="Arial" w:cs="Arial"/>
          <w:b/>
          <w:bCs/>
          <w:sz w:val="28"/>
        </w:rPr>
        <w:t>21</w:t>
      </w:r>
      <w:r w:rsidR="00C646BC">
        <w:rPr>
          <w:rFonts w:ascii="Arial" w:hAnsi="Arial" w:cs="Arial"/>
          <w:b/>
          <w:bCs/>
          <w:sz w:val="28"/>
        </w:rPr>
        <w:t>11835</w:t>
      </w:r>
    </w:p>
    <w:p w14:paraId="1129971B" w14:textId="018CF7D6" w:rsidR="00B360D6" w:rsidRDefault="00B360D6" w:rsidP="00B360D6">
      <w:pPr>
        <w:tabs>
          <w:tab w:val="center" w:pos="4536"/>
          <w:tab w:val="right" w:pos="9072"/>
        </w:tabs>
        <w:rPr>
          <w:rFonts w:ascii="Arial" w:eastAsia="MS Mincho" w:hAnsi="Arial" w:cs="Arial"/>
          <w:b/>
          <w:bCs/>
          <w:sz w:val="28"/>
          <w:szCs w:val="24"/>
          <w:lang w:eastAsia="ja-JP"/>
        </w:rPr>
      </w:pPr>
      <w:bookmarkStart w:id="4" w:name="_Hlk83761924"/>
      <w:r>
        <w:rPr>
          <w:rFonts w:ascii="Arial" w:eastAsia="MS Mincho" w:hAnsi="Arial" w:cs="Arial"/>
          <w:b/>
          <w:bCs/>
          <w:sz w:val="28"/>
          <w:lang w:eastAsia="ja-JP"/>
        </w:rPr>
        <w:t xml:space="preserve">e-Meeting, </w:t>
      </w:r>
      <w:r w:rsidR="00E92EBA">
        <w:rPr>
          <w:rFonts w:ascii="Arial" w:eastAsia="MS Mincho" w:hAnsi="Arial" w:cs="Arial"/>
          <w:b/>
          <w:bCs/>
          <w:sz w:val="28"/>
          <w:lang w:eastAsia="ja-JP"/>
        </w:rPr>
        <w:t>November</w:t>
      </w:r>
      <w:r>
        <w:rPr>
          <w:rFonts w:ascii="Arial" w:eastAsia="MS Mincho" w:hAnsi="Arial" w:cs="Arial"/>
          <w:b/>
          <w:bCs/>
          <w:sz w:val="28"/>
          <w:lang w:eastAsia="ja-JP"/>
        </w:rPr>
        <w:t xml:space="preserve">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4"/>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D1C5F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27050C">
        <w:rPr>
          <w:rFonts w:ascii="Arial" w:hAnsi="Arial" w:cs="Arial"/>
          <w:b/>
          <w:bCs/>
        </w:rPr>
        <w:t>s</w:t>
      </w:r>
      <w:r w:rsidR="0094768B">
        <w:rPr>
          <w:rFonts w:ascii="Arial" w:hAnsi="Arial" w:cs="Arial"/>
          <w:b/>
          <w:bCs/>
        </w:rPr>
        <w:t xml:space="preserve"> on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1"/>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2"/>
    </w:p>
    <w:p w14:paraId="2EC86119" w14:textId="6575968B" w:rsidR="00926166" w:rsidRDefault="00592AB0" w:rsidP="00592AB0">
      <w:pPr>
        <w:spacing w:line="276" w:lineRule="auto"/>
        <w:jc w:val="both"/>
        <w:rPr>
          <w:rFonts w:ascii="Arial" w:hAnsi="Arial" w:cs="Arial"/>
        </w:rPr>
      </w:pPr>
      <w:r w:rsidRPr="00983ACF">
        <w:rPr>
          <w:rFonts w:ascii="Arial" w:hAnsi="Arial" w:cs="Arial"/>
        </w:rPr>
        <w:t>In RAN</w:t>
      </w:r>
      <w:r w:rsidR="0059447D">
        <w:rPr>
          <w:rFonts w:ascii="Arial" w:hAnsi="Arial" w:cs="Arial"/>
        </w:rPr>
        <w:t>1</w:t>
      </w:r>
      <w:r w:rsidRPr="00983ACF">
        <w:rPr>
          <w:rFonts w:ascii="Arial" w:hAnsi="Arial" w:cs="Arial"/>
        </w:rPr>
        <w:t>#</w:t>
      </w:r>
      <w:r w:rsidR="0059447D">
        <w:rPr>
          <w:rFonts w:ascii="Arial" w:hAnsi="Arial" w:cs="Arial"/>
        </w:rPr>
        <w:t>10</w:t>
      </w:r>
      <w:r w:rsidR="00A26D74">
        <w:rPr>
          <w:rFonts w:ascii="Arial" w:hAnsi="Arial" w:cs="Arial"/>
        </w:rPr>
        <w:t>6</w:t>
      </w:r>
      <w:r w:rsidR="00E92EBA">
        <w:rPr>
          <w:rFonts w:ascii="Arial" w:hAnsi="Arial" w:cs="Arial"/>
        </w:rPr>
        <w:t>bis</w:t>
      </w:r>
      <w:r w:rsidRPr="00983ACF">
        <w:rPr>
          <w:rFonts w:ascii="Arial" w:hAnsi="Arial" w:cs="Arial"/>
        </w:rPr>
        <w:t>-e</w:t>
      </w:r>
      <w:r w:rsidR="000070EB">
        <w:rPr>
          <w:rFonts w:ascii="Arial" w:hAnsi="Arial" w:cs="Arial"/>
        </w:rPr>
        <w:t xml:space="preserve"> [</w:t>
      </w:r>
      <w:r w:rsidR="004E1221">
        <w:rPr>
          <w:rFonts w:ascii="Arial" w:hAnsi="Arial" w:cs="Arial"/>
        </w:rPr>
        <w:t>2</w:t>
      </w:r>
      <w:r w:rsidR="000070EB">
        <w:rPr>
          <w:rFonts w:ascii="Arial" w:hAnsi="Arial" w:cs="Arial"/>
        </w:rPr>
        <w:t>]</w:t>
      </w:r>
      <w:r w:rsidRPr="00983ACF">
        <w:rPr>
          <w:rFonts w:ascii="Arial" w:hAnsi="Arial" w:cs="Arial"/>
        </w:rPr>
        <w:t xml:space="preserve">, </w:t>
      </w:r>
      <w:r w:rsidR="0059447D">
        <w:rPr>
          <w:rFonts w:ascii="Arial" w:hAnsi="Arial" w:cs="Arial"/>
        </w:rPr>
        <w:t>following agreements on</w:t>
      </w:r>
      <w:r w:rsidR="00926166">
        <w:rPr>
          <w:rFonts w:ascii="Arial" w:hAnsi="Arial" w:cs="Arial"/>
        </w:rPr>
        <w:t xml:space="preserve"> beam </w:t>
      </w:r>
      <w:r w:rsidR="00C2545E">
        <w:rPr>
          <w:rFonts w:ascii="Arial" w:hAnsi="Arial" w:cs="Arial"/>
        </w:rPr>
        <w:t xml:space="preserve">management </w:t>
      </w:r>
      <w:r w:rsidR="0059447D">
        <w:rPr>
          <w:rFonts w:ascii="Arial" w:hAnsi="Arial" w:cs="Arial"/>
        </w:rPr>
        <w:t xml:space="preserve">for new SCSs were </w:t>
      </w:r>
      <w:r w:rsidR="00123C16">
        <w:rPr>
          <w:rFonts w:ascii="Arial" w:hAnsi="Arial" w:cs="Arial"/>
        </w:rPr>
        <w:t>made</w:t>
      </w:r>
      <w:r w:rsidR="00926166">
        <w:rPr>
          <w:rFonts w:ascii="Arial" w:hAnsi="Arial" w:cs="Arial"/>
        </w:rPr>
        <w:t>:</w:t>
      </w:r>
    </w:p>
    <w:tbl>
      <w:tblPr>
        <w:tblStyle w:val="TableGrid"/>
        <w:tblW w:w="0" w:type="auto"/>
        <w:tblLook w:val="04A0" w:firstRow="1" w:lastRow="0" w:firstColumn="1" w:lastColumn="0" w:noHBand="0" w:noVBand="1"/>
      </w:tblPr>
      <w:tblGrid>
        <w:gridCol w:w="9962"/>
      </w:tblGrid>
      <w:tr w:rsidR="0059447D" w14:paraId="34218957" w14:textId="77777777" w:rsidTr="0059447D">
        <w:tc>
          <w:tcPr>
            <w:tcW w:w="9962" w:type="dxa"/>
          </w:tcPr>
          <w:p w14:paraId="1C539999" w14:textId="77777777" w:rsidR="00E92EBA" w:rsidRPr="00C16FC3" w:rsidRDefault="00E92EBA" w:rsidP="00E92EBA">
            <w:pPr>
              <w:rPr>
                <w:rFonts w:ascii="Times New Roman" w:hAnsi="Times New Roman" w:cs="Times New Roman"/>
                <w:iCs/>
              </w:rPr>
            </w:pPr>
            <w:bookmarkStart w:id="5" w:name="_Hlk63407815"/>
            <w:r w:rsidRPr="00C16FC3">
              <w:rPr>
                <w:rFonts w:ascii="Times New Roman" w:hAnsi="Times New Roman" w:cs="Times New Roman"/>
                <w:iCs/>
                <w:highlight w:val="green"/>
              </w:rPr>
              <w:t>Agreement:</w:t>
            </w:r>
          </w:p>
          <w:p w14:paraId="4E384FE8"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rPr>
              <w:t>For maxNumberRxTxBeamSwitchDL, support 1, 4 and 7 as candidate values for 960 kHz in addition to the agreed candidate value 2.</w:t>
            </w:r>
          </w:p>
          <w:p w14:paraId="615E6280" w14:textId="77777777" w:rsidR="00E92EBA" w:rsidRPr="00C16FC3" w:rsidRDefault="00E92EBA" w:rsidP="00E92EBA">
            <w:pPr>
              <w:numPr>
                <w:ilvl w:val="0"/>
                <w:numId w:val="32"/>
              </w:numPr>
              <w:spacing w:after="0" w:line="240" w:lineRule="auto"/>
              <w:rPr>
                <w:rFonts w:ascii="Times New Roman" w:hAnsi="Times New Roman" w:cs="Times New Roman"/>
                <w:iCs/>
              </w:rPr>
            </w:pPr>
            <w:r w:rsidRPr="00C16FC3">
              <w:rPr>
                <w:rFonts w:ascii="Times New Roman" w:hAnsi="Times New Roman" w:cs="Times New Roman"/>
                <w:iCs/>
              </w:rPr>
              <w:t>Note: this is Alt-1 from the RAN1#106 agreement.</w:t>
            </w:r>
          </w:p>
          <w:p w14:paraId="7CF5C5ED" w14:textId="77777777" w:rsidR="00E92EBA" w:rsidRPr="00C16FC3" w:rsidRDefault="00E92EBA" w:rsidP="00E92EBA">
            <w:pPr>
              <w:rPr>
                <w:rFonts w:ascii="Times New Roman" w:hAnsi="Times New Roman" w:cs="Times New Roman"/>
                <w:iCs/>
              </w:rPr>
            </w:pPr>
          </w:p>
          <w:p w14:paraId="3A1AB853"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highlight w:val="green"/>
              </w:rPr>
              <w:t>Agreement:</w:t>
            </w:r>
          </w:p>
          <w:p w14:paraId="2E1E0F8F"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rPr>
              <w:t xml:space="preserve">For additional beam switching time delay d of 120 kHz, support 28 symbols. </w:t>
            </w:r>
          </w:p>
          <w:p w14:paraId="5247BEC2" w14:textId="77777777" w:rsidR="00E92EBA" w:rsidRPr="00C16FC3" w:rsidRDefault="00E92EBA" w:rsidP="00E92EBA">
            <w:pPr>
              <w:numPr>
                <w:ilvl w:val="0"/>
                <w:numId w:val="33"/>
              </w:numPr>
              <w:spacing w:after="0" w:line="240" w:lineRule="auto"/>
              <w:rPr>
                <w:rFonts w:ascii="Times New Roman" w:hAnsi="Times New Roman" w:cs="Times New Roman"/>
                <w:iCs/>
              </w:rPr>
            </w:pPr>
            <w:r w:rsidRPr="00C16FC3">
              <w:rPr>
                <w:rFonts w:ascii="Times New Roman" w:hAnsi="Times New Roman" w:cs="Times New Roman"/>
                <w:iCs/>
              </w:rPr>
              <w:t>Note: this is Alt-2 from the RAN1#106 agreement.</w:t>
            </w:r>
          </w:p>
          <w:p w14:paraId="256E0234" w14:textId="77777777" w:rsidR="00E92EBA" w:rsidRPr="00C16FC3" w:rsidRDefault="00E92EBA" w:rsidP="00E92EBA">
            <w:pPr>
              <w:rPr>
                <w:rFonts w:ascii="Times New Roman" w:hAnsi="Times New Roman" w:cs="Times New Roman"/>
                <w:iCs/>
              </w:rPr>
            </w:pPr>
          </w:p>
          <w:p w14:paraId="085743AF"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highlight w:val="green"/>
              </w:rPr>
              <w:t>Agreement:</w:t>
            </w:r>
          </w:p>
          <w:p w14:paraId="16CC4C4B"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rPr>
              <w:t>For additional beam switching time delay d of 480 kHz, introduce UE capability signalling which indicates 56 symbols or 112 symbols.</w:t>
            </w:r>
          </w:p>
          <w:p w14:paraId="3697AA2B" w14:textId="77777777" w:rsidR="00E92EBA" w:rsidRPr="00C16FC3" w:rsidRDefault="00E92EBA" w:rsidP="00E92EBA">
            <w:pPr>
              <w:rPr>
                <w:rFonts w:ascii="Times New Roman" w:hAnsi="Times New Roman" w:cs="Times New Roman"/>
                <w:iCs/>
              </w:rPr>
            </w:pPr>
          </w:p>
          <w:p w14:paraId="7368140D" w14:textId="77777777" w:rsidR="00E92EBA" w:rsidRPr="00C16FC3" w:rsidRDefault="00E92EBA" w:rsidP="00E92EBA">
            <w:pPr>
              <w:rPr>
                <w:rFonts w:ascii="Times New Roman" w:hAnsi="Times New Roman" w:cs="Times New Roman"/>
                <w:iCs/>
                <w:u w:val="single"/>
              </w:rPr>
            </w:pPr>
            <w:r w:rsidRPr="00C16FC3">
              <w:rPr>
                <w:rFonts w:ascii="Times New Roman" w:hAnsi="Times New Roman" w:cs="Times New Roman"/>
                <w:iCs/>
                <w:u w:val="single"/>
              </w:rPr>
              <w:t>Conclusion:</w:t>
            </w:r>
          </w:p>
          <w:p w14:paraId="7AD62E28"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rPr>
              <w:t xml:space="preserve">For candidate values of timeDurationForQCL, beamSwitchTiming and beamReportTiming, </w:t>
            </w:r>
          </w:p>
          <w:p w14:paraId="05B5A30E" w14:textId="77777777" w:rsidR="00E92EBA" w:rsidRPr="00C16FC3" w:rsidRDefault="00E92EBA" w:rsidP="00E92EBA">
            <w:pPr>
              <w:numPr>
                <w:ilvl w:val="0"/>
                <w:numId w:val="33"/>
              </w:numPr>
              <w:spacing w:after="0" w:line="240" w:lineRule="auto"/>
              <w:rPr>
                <w:rFonts w:ascii="Times New Roman" w:hAnsi="Times New Roman" w:cs="Times New Roman"/>
                <w:iCs/>
              </w:rPr>
            </w:pPr>
            <w:r w:rsidRPr="00C16FC3">
              <w:rPr>
                <w:rFonts w:ascii="Times New Roman" w:hAnsi="Times New Roman" w:cs="Times New Roman"/>
                <w:iCs/>
              </w:rPr>
              <w:t xml:space="preserve">No additional candidate values are supported for 120 kHz, 480 kHz and 960 kHz </w:t>
            </w:r>
          </w:p>
          <w:p w14:paraId="243D0091" w14:textId="77777777" w:rsidR="00E92EBA" w:rsidRPr="00C16FC3" w:rsidRDefault="00E92EBA" w:rsidP="00E92EBA">
            <w:pPr>
              <w:numPr>
                <w:ilvl w:val="0"/>
                <w:numId w:val="33"/>
              </w:numPr>
              <w:spacing w:after="0" w:line="240" w:lineRule="auto"/>
              <w:rPr>
                <w:rFonts w:ascii="Times New Roman" w:hAnsi="Times New Roman" w:cs="Times New Roman"/>
                <w:iCs/>
              </w:rPr>
            </w:pPr>
            <w:r w:rsidRPr="00C16FC3">
              <w:rPr>
                <w:rFonts w:ascii="Times New Roman" w:hAnsi="Times New Roman" w:cs="Times New Roman"/>
                <w:iCs/>
              </w:rPr>
              <w:t>Note: this is Alt-1 from the RAN1#106 agreement.</w:t>
            </w:r>
          </w:p>
          <w:p w14:paraId="534B8228" w14:textId="77777777" w:rsidR="00E92EBA" w:rsidRPr="00C16FC3" w:rsidRDefault="00E92EBA" w:rsidP="00E92EBA">
            <w:pPr>
              <w:rPr>
                <w:rFonts w:ascii="Times New Roman" w:hAnsi="Times New Roman" w:cs="Times New Roman"/>
                <w:iCs/>
              </w:rPr>
            </w:pPr>
          </w:p>
          <w:p w14:paraId="12CD1D50"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highlight w:val="green"/>
              </w:rPr>
              <w:t>Agreement:</w:t>
            </w:r>
          </w:p>
          <w:p w14:paraId="61EA454D" w14:textId="77777777" w:rsidR="00E92EBA" w:rsidRPr="007E3CE9" w:rsidRDefault="00E92EBA" w:rsidP="00E92EBA">
            <w:pPr>
              <w:spacing w:line="252" w:lineRule="auto"/>
              <w:rPr>
                <w:rFonts w:ascii="Times New Roman" w:eastAsia="Calibri" w:hAnsi="Times New Roman" w:cs="Times New Roman"/>
              </w:rPr>
            </w:pPr>
            <w:r w:rsidRPr="00E92EBA">
              <w:rPr>
                <w:rFonts w:ascii="Times New Roman" w:hAnsi="Times New Roman" w:cs="Times New Roman"/>
              </w:rPr>
              <w:t xml:space="preserve">Like in Rel-15, a minimum guard period Y between two SRS resources of an SRS resource set for antenna </w:t>
            </w:r>
            <w:r w:rsidRPr="007E3CE9">
              <w:rPr>
                <w:rFonts w:ascii="Times New Roman" w:hAnsi="Times New Roman" w:cs="Times New Roman"/>
              </w:rPr>
              <w:t>switching is supported for 480 kHz and 960 kHz</w:t>
            </w:r>
          </w:p>
          <w:p w14:paraId="7371807F" w14:textId="77777777" w:rsidR="00E92EBA" w:rsidRPr="007E3CE9" w:rsidRDefault="00E92EBA" w:rsidP="00E92EBA">
            <w:pPr>
              <w:numPr>
                <w:ilvl w:val="0"/>
                <w:numId w:val="34"/>
              </w:numPr>
              <w:spacing w:after="0" w:line="252" w:lineRule="auto"/>
              <w:rPr>
                <w:rFonts w:ascii="Times New Roman" w:eastAsia="Times New Roman" w:hAnsi="Times New Roman" w:cs="Times New Roman"/>
              </w:rPr>
            </w:pPr>
            <w:r w:rsidRPr="007E3CE9">
              <w:rPr>
                <w:rFonts w:ascii="Times New Roman" w:eastAsia="Times New Roman" w:hAnsi="Times New Roman" w:cs="Times New Roman"/>
              </w:rPr>
              <w:t>FFS: Whether to define different values of Y for 480 kHz and 960 kHz or not</w:t>
            </w:r>
          </w:p>
          <w:p w14:paraId="645B8D0F" w14:textId="77777777" w:rsidR="00E92EBA" w:rsidRPr="00FB4F2B" w:rsidRDefault="00E92EBA" w:rsidP="00E92EBA">
            <w:pPr>
              <w:numPr>
                <w:ilvl w:val="0"/>
                <w:numId w:val="34"/>
              </w:numPr>
              <w:spacing w:after="0" w:line="252" w:lineRule="auto"/>
              <w:rPr>
                <w:rFonts w:ascii="Times New Roman" w:eastAsia="Times New Roman" w:hAnsi="Times New Roman" w:cs="Times New Roman"/>
              </w:rPr>
            </w:pPr>
            <w:r w:rsidRPr="00FB4F2B">
              <w:rPr>
                <w:rFonts w:ascii="Times New Roman" w:eastAsia="Times New Roman" w:hAnsi="Times New Roman" w:cs="Times New Roman"/>
              </w:rPr>
              <w:t>FFS: Values of Y dependent on RAN4 feedback on the switching time requirement</w:t>
            </w:r>
          </w:p>
          <w:p w14:paraId="273F5B48" w14:textId="77777777" w:rsidR="00E92EBA" w:rsidRPr="00C16FC3" w:rsidRDefault="00E92EBA" w:rsidP="00E92EBA">
            <w:pPr>
              <w:rPr>
                <w:rFonts w:ascii="Times New Roman" w:eastAsia="Calibri" w:hAnsi="Times New Roman" w:cs="Times New Roman"/>
              </w:rPr>
            </w:pPr>
          </w:p>
          <w:p w14:paraId="449DA309" w14:textId="77777777" w:rsidR="00E92EBA" w:rsidRPr="00C16FC3" w:rsidRDefault="00E92EBA" w:rsidP="00E92EBA">
            <w:pPr>
              <w:rPr>
                <w:rFonts w:ascii="Times New Roman" w:hAnsi="Times New Roman" w:cs="Times New Roman"/>
                <w:iCs/>
              </w:rPr>
            </w:pPr>
            <w:r w:rsidRPr="00C16FC3">
              <w:rPr>
                <w:rFonts w:ascii="Times New Roman" w:hAnsi="Times New Roman" w:cs="Times New Roman"/>
                <w:iCs/>
                <w:highlight w:val="green"/>
              </w:rPr>
              <w:t>Agreement:</w:t>
            </w:r>
          </w:p>
          <w:p w14:paraId="6E846DDA" w14:textId="77777777" w:rsidR="00E92EBA" w:rsidRPr="007E3CE9" w:rsidRDefault="00E92EBA" w:rsidP="00E92EBA">
            <w:pPr>
              <w:spacing w:line="252" w:lineRule="auto"/>
              <w:rPr>
                <w:rFonts w:ascii="Times New Roman" w:eastAsia="Calibri" w:hAnsi="Times New Roman" w:cs="Times New Roman"/>
              </w:rPr>
            </w:pPr>
            <w:r w:rsidRPr="00E92EBA">
              <w:rPr>
                <w:rFonts w:ascii="Times New Roman" w:hAnsi="Times New Roman" w:cs="Times New Roman"/>
              </w:rPr>
              <w:t>The working assumption in RAN1#106-e is con</w:t>
            </w:r>
            <w:r w:rsidRPr="007E3CE9">
              <w:rPr>
                <w:rFonts w:ascii="Times New Roman" w:hAnsi="Times New Roman" w:cs="Times New Roman"/>
              </w:rPr>
              <w:t>firmed with the following update:</w:t>
            </w:r>
          </w:p>
          <w:p w14:paraId="69773F60" w14:textId="77777777" w:rsidR="00E92EBA" w:rsidRPr="007E3CE9" w:rsidRDefault="00E92EBA" w:rsidP="00E92EBA">
            <w:pPr>
              <w:spacing w:line="252" w:lineRule="auto"/>
              <w:rPr>
                <w:rFonts w:ascii="Times New Roman" w:hAnsi="Times New Roman" w:cs="Times New Roman"/>
              </w:rPr>
            </w:pPr>
            <w:r w:rsidRPr="00E92EBA">
              <w:rPr>
                <w:rFonts w:ascii="Times New Roman" w:hAnsi="Times New Roman" w:cs="Times New Roman"/>
              </w:rPr>
              <w:t xml:space="preserve">For multi-PDSCH scheduling for multi-TRPs, support a single DCI field ‘Transmission Configuration Indication’ </w:t>
            </w:r>
            <w:r w:rsidRPr="007E3CE9">
              <w:rPr>
                <w:rFonts w:ascii="Times New Roman" w:hAnsi="Times New Roman" w:cs="Times New Roman"/>
              </w:rPr>
              <w:t>as in Rel-16 TCI state indication mechanism for multi-TRPs</w:t>
            </w:r>
          </w:p>
          <w:p w14:paraId="1EC73765" w14:textId="77777777" w:rsidR="00E92EBA" w:rsidRPr="007E3CE9" w:rsidRDefault="00E92EBA" w:rsidP="00E92EBA">
            <w:pPr>
              <w:numPr>
                <w:ilvl w:val="0"/>
                <w:numId w:val="34"/>
              </w:numPr>
              <w:spacing w:after="0" w:line="252" w:lineRule="auto"/>
              <w:rPr>
                <w:rFonts w:ascii="Times New Roman" w:eastAsia="Times New Roman" w:hAnsi="Times New Roman" w:cs="Times New Roman"/>
              </w:rPr>
            </w:pPr>
            <w:r w:rsidRPr="007E3CE9">
              <w:rPr>
                <w:rFonts w:ascii="Times New Roman" w:eastAsia="Times New Roman" w:hAnsi="Times New Roman" w:cs="Times New Roman"/>
              </w:rPr>
              <w:t>The single DCI field ‘Transmission Configuration Indication’ indicates one or two TCI states associated with a code point for single DCI based multi-TRP mechanism</w:t>
            </w:r>
          </w:p>
          <w:p w14:paraId="5BA4D849" w14:textId="77777777" w:rsidR="00E92EBA" w:rsidRPr="00C16FC3" w:rsidRDefault="00E92EBA" w:rsidP="00E92EBA">
            <w:pPr>
              <w:numPr>
                <w:ilvl w:val="1"/>
                <w:numId w:val="34"/>
              </w:numPr>
              <w:spacing w:after="0" w:line="252" w:lineRule="auto"/>
              <w:rPr>
                <w:rFonts w:ascii="Times New Roman" w:eastAsia="Times New Roman" w:hAnsi="Times New Roman" w:cs="Times New Roman"/>
                <w:color w:val="FF0000"/>
              </w:rPr>
            </w:pPr>
            <w:r w:rsidRPr="00C16FC3">
              <w:rPr>
                <w:rFonts w:ascii="Times New Roman" w:eastAsia="Times New Roman" w:hAnsi="Times New Roman" w:cs="Times New Roman"/>
                <w:color w:val="FF0000"/>
              </w:rPr>
              <w:t>When two TCI states are indicated, reuse Rel-16 association rules to apply the two TCI states for each PDSCH scheduled by a multi-PDSCH scheduling DCI</w:t>
            </w:r>
          </w:p>
          <w:p w14:paraId="5E0A4401" w14:textId="77777777" w:rsidR="00E92EBA" w:rsidRPr="00C16FC3" w:rsidRDefault="00E92EBA" w:rsidP="00E92EBA">
            <w:pPr>
              <w:numPr>
                <w:ilvl w:val="0"/>
                <w:numId w:val="34"/>
              </w:numPr>
              <w:spacing w:after="0" w:line="252" w:lineRule="auto"/>
              <w:rPr>
                <w:rFonts w:ascii="Times New Roman" w:eastAsia="Times New Roman" w:hAnsi="Times New Roman" w:cs="Times New Roman"/>
              </w:rPr>
            </w:pPr>
            <w:r w:rsidRPr="00C16FC3">
              <w:rPr>
                <w:rFonts w:ascii="Times New Roman" w:eastAsia="Times New Roman" w:hAnsi="Times New Roman" w:cs="Times New Roman"/>
              </w:rPr>
              <w:t>The single DCI field ‘Transmission Configuration Indication’ indicates only one TCI state associated with a code point for multi-DCI based multi-TRP mechanism</w:t>
            </w:r>
          </w:p>
          <w:p w14:paraId="4ADFD240" w14:textId="77777777" w:rsidR="00E92EBA" w:rsidRPr="00C16FC3" w:rsidRDefault="00E92EBA" w:rsidP="00E92EBA">
            <w:pPr>
              <w:numPr>
                <w:ilvl w:val="0"/>
                <w:numId w:val="34"/>
              </w:numPr>
              <w:spacing w:after="0" w:line="252" w:lineRule="auto"/>
              <w:rPr>
                <w:rFonts w:ascii="Times New Roman" w:eastAsia="Times New Roman" w:hAnsi="Times New Roman" w:cs="Times New Roman"/>
              </w:rPr>
            </w:pPr>
            <w:r w:rsidRPr="00C16FC3">
              <w:rPr>
                <w:rFonts w:ascii="Times New Roman" w:eastAsia="Times New Roman" w:hAnsi="Times New Roman" w:cs="Times New Roman"/>
              </w:rPr>
              <w:t>Reuse Rel-16 RRC configuration and MAC CE activation/deactivation methods for the one or two TCI states</w:t>
            </w:r>
          </w:p>
          <w:p w14:paraId="0791ACB5" w14:textId="77777777" w:rsidR="00E92EBA" w:rsidRPr="00C16FC3" w:rsidRDefault="00E92EBA" w:rsidP="00E92EBA">
            <w:pPr>
              <w:numPr>
                <w:ilvl w:val="0"/>
                <w:numId w:val="34"/>
              </w:numPr>
              <w:spacing w:after="0" w:line="252" w:lineRule="auto"/>
              <w:rPr>
                <w:rFonts w:ascii="Times New Roman" w:eastAsia="Times New Roman" w:hAnsi="Times New Roman" w:cs="Times New Roman"/>
                <w:strike/>
                <w:color w:val="FF0000"/>
              </w:rPr>
            </w:pPr>
            <w:r w:rsidRPr="00C16FC3">
              <w:rPr>
                <w:rFonts w:ascii="Times New Roman" w:eastAsia="Times New Roman" w:hAnsi="Times New Roman" w:cs="Times New Roman"/>
                <w:strike/>
                <w:color w:val="FF0000"/>
              </w:rPr>
              <w:t>FFS: Details of multiple TCI state association with multiple PDSCHs</w:t>
            </w:r>
          </w:p>
          <w:p w14:paraId="5E27B397" w14:textId="4308DF8E" w:rsidR="0059447D" w:rsidRPr="004646F5" w:rsidRDefault="00E92EBA" w:rsidP="004646F5">
            <w:pPr>
              <w:numPr>
                <w:ilvl w:val="0"/>
                <w:numId w:val="34"/>
              </w:numPr>
              <w:spacing w:after="0" w:line="252" w:lineRule="auto"/>
              <w:rPr>
                <w:rFonts w:ascii="Times New Roman" w:eastAsia="Times New Roman" w:hAnsi="Times New Roman" w:cs="Times New Roman"/>
                <w:strike/>
                <w:color w:val="FF0000"/>
              </w:rPr>
            </w:pPr>
            <w:r w:rsidRPr="00E92EBA">
              <w:rPr>
                <w:rFonts w:ascii="Times New Roman" w:eastAsia="Times New Roman" w:hAnsi="Times New Roman" w:cs="Times New Roman"/>
                <w:color w:val="FF0000"/>
              </w:rPr>
              <w:t>Within the TDRA table for multi-PDSCH scheduling, the UE does not expect to be configured with the higher layer parameter repetitionNumber</w:t>
            </w:r>
            <w:bookmarkEnd w:id="5"/>
          </w:p>
        </w:tc>
      </w:tr>
    </w:tbl>
    <w:p w14:paraId="2928BC45" w14:textId="77777777" w:rsidR="0059447D" w:rsidRDefault="0059447D" w:rsidP="00592AB0">
      <w:pPr>
        <w:spacing w:line="276" w:lineRule="auto"/>
        <w:jc w:val="both"/>
        <w:rPr>
          <w:rFonts w:ascii="Arial" w:hAnsi="Arial" w:cs="Arial"/>
        </w:rPr>
      </w:pPr>
    </w:p>
    <w:p w14:paraId="12CA4570" w14:textId="15B70432"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523DE6BA" w14:textId="1720F97A" w:rsidR="007E3CE9" w:rsidRDefault="007E3CE9" w:rsidP="007E3DAE">
      <w:pPr>
        <w:spacing w:line="276" w:lineRule="auto"/>
        <w:jc w:val="both"/>
        <w:rPr>
          <w:rFonts w:ascii="Arial" w:hAnsi="Arial" w:cs="Arial"/>
        </w:rPr>
      </w:pPr>
      <w:r>
        <w:t>M</w:t>
      </w:r>
      <w:r w:rsidRPr="007E3CE9">
        <w:t>inimum guard period Y between two SRS resources of an SRS resource set for antenna switching</w:t>
      </w:r>
      <w:r w:rsidRPr="007E3CE9" w:rsidDel="007E3CE9">
        <w:t xml:space="preserve"> </w:t>
      </w:r>
      <w:r w:rsidR="007A2B65" w:rsidRPr="007A2B65">
        <w:rPr>
          <w:rFonts w:ascii="Arial" w:hAnsi="Arial" w:cs="Arial"/>
        </w:rPr>
        <w:t>In RAN1#</w:t>
      </w:r>
      <w:r w:rsidRPr="007A2B65">
        <w:rPr>
          <w:rFonts w:ascii="Arial" w:hAnsi="Arial" w:cs="Arial"/>
        </w:rPr>
        <w:t>10</w:t>
      </w:r>
      <w:r>
        <w:rPr>
          <w:rFonts w:ascii="Arial" w:hAnsi="Arial" w:cs="Arial"/>
        </w:rPr>
        <w:t>6bis</w:t>
      </w:r>
      <w:r w:rsidR="007A2B65" w:rsidRPr="007A2B65">
        <w:rPr>
          <w:rFonts w:ascii="Arial" w:hAnsi="Arial" w:cs="Arial"/>
        </w:rPr>
        <w:t>-e</w:t>
      </w:r>
      <w:r w:rsidR="004E1221">
        <w:rPr>
          <w:rFonts w:ascii="Arial" w:hAnsi="Arial" w:cs="Arial"/>
        </w:rPr>
        <w:t xml:space="preserve"> </w:t>
      </w:r>
      <w:r w:rsidR="007A2B65" w:rsidRPr="007A2B65">
        <w:rPr>
          <w:rFonts w:ascii="Arial" w:hAnsi="Arial" w:cs="Arial"/>
        </w:rPr>
        <w:t>[</w:t>
      </w:r>
      <w:r w:rsidR="00C646BC">
        <w:rPr>
          <w:rFonts w:ascii="Arial" w:hAnsi="Arial" w:cs="Arial"/>
        </w:rPr>
        <w:t>2</w:t>
      </w:r>
      <w:r w:rsidR="007A2B65" w:rsidRPr="007A2B65">
        <w:rPr>
          <w:rFonts w:ascii="Arial" w:hAnsi="Arial" w:cs="Arial"/>
        </w:rPr>
        <w:t xml:space="preserve">], </w:t>
      </w:r>
      <w:r>
        <w:rPr>
          <w:rFonts w:ascii="Arial" w:hAnsi="Arial" w:cs="Arial"/>
        </w:rPr>
        <w:t xml:space="preserve">support of a minimum guard period Y between two SRS resources of an SRS resource set for antenna switching was agreed for 480 kHz and 960 kHz. </w:t>
      </w:r>
      <w:r w:rsidRPr="007E3CE9">
        <w:rPr>
          <w:rFonts w:ascii="Arial" w:hAnsi="Arial" w:cs="Arial"/>
        </w:rPr>
        <w:t>The value of the guard period Y expressed in number of symbols is specified in 38.214 Table 6.2.1.2-1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7E3CE9" w:rsidRPr="007E3CE9" w14:paraId="5D9E63E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21D4A9"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285" w:dyaOrig="285" w14:anchorId="009EAE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pt;height:14pt;mso-position-horizontal-relative:page;mso-position-vertical-relative:page" o:ole="">
                  <v:imagedata r:id="rId11" o:title=""/>
                </v:shape>
                <o:OLEObject Type="Embed" ProgID="Equation.3" ShapeID="对象 261" DrawAspect="Content" ObjectID="_1697647075" r:id="rId12"/>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E8259F" w14:textId="77777777" w:rsidR="007E3CE9" w:rsidRPr="007E3CE9" w:rsidRDefault="007E3CE9" w:rsidP="007E3CE9">
            <w:pPr>
              <w:keepNext/>
              <w:keepLines/>
              <w:spacing w:after="0" w:line="240" w:lineRule="auto"/>
              <w:jc w:val="center"/>
              <w:rPr>
                <w:rFonts w:ascii="Arial" w:eastAsia="Batang" w:hAnsi="Arial" w:cs="Arial"/>
                <w:b/>
                <w:sz w:val="18"/>
                <w:lang w:val="en-GB" w:eastAsia="en-GB"/>
              </w:rPr>
            </w:pPr>
            <w:r w:rsidRPr="007E3CE9">
              <w:rPr>
                <w:rFonts w:ascii="Arial" w:eastAsia="Batang" w:hAnsi="Arial" w:cs="Times New Roman"/>
                <w:b/>
                <w:position w:val="-10"/>
                <w:sz w:val="18"/>
                <w:szCs w:val="20"/>
                <w:lang w:val="en-GB" w:eastAsia="en-GB"/>
              </w:rPr>
              <w:object w:dxaOrig="1590" w:dyaOrig="285" w14:anchorId="62930B35">
                <v:shape id="对象 262" o:spid="_x0000_i1026" type="#_x0000_t75" style="width:79.5pt;height:14pt;mso-position-horizontal-relative:page;mso-position-vertical-relative:page" o:ole="">
                  <v:imagedata r:id="rId13" o:title=""/>
                </v:shape>
                <o:OLEObject Type="Embed" ProgID="Equation.3" ShapeID="对象 262" DrawAspect="Content" ObjectID="_1697647076" r:id="rId14"/>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F81084" w14:textId="77777777" w:rsidR="007E3CE9" w:rsidRPr="007E3CE9" w:rsidRDefault="007E3CE9" w:rsidP="007E3CE9">
            <w:pPr>
              <w:keepNext/>
              <w:keepLines/>
              <w:spacing w:after="0" w:line="240" w:lineRule="auto"/>
              <w:jc w:val="center"/>
              <w:rPr>
                <w:rFonts w:ascii="Arial" w:eastAsia="SimSun" w:hAnsi="Arial" w:cs="Arial"/>
                <w:b/>
                <w:sz w:val="18"/>
                <w:lang w:val="en-GB" w:eastAsia="zh-CN"/>
              </w:rPr>
            </w:pPr>
            <w:r w:rsidRPr="007E3CE9">
              <w:rPr>
                <w:rFonts w:ascii="Arial" w:eastAsia="Calibri" w:hAnsi="Arial" w:cs="Arial"/>
                <w:b/>
                <w:i/>
                <w:sz w:val="18"/>
                <w:lang w:eastAsia="zh-CN"/>
              </w:rPr>
              <w:t>Y</w:t>
            </w:r>
            <w:r w:rsidRPr="007E3CE9">
              <w:rPr>
                <w:rFonts w:ascii="Arial" w:eastAsia="Calibri" w:hAnsi="Arial" w:cs="Arial"/>
                <w:b/>
                <w:sz w:val="18"/>
                <w:lang w:eastAsia="zh-CN"/>
              </w:rPr>
              <w:t xml:space="preserve"> [symbol]</w:t>
            </w:r>
          </w:p>
        </w:tc>
      </w:tr>
      <w:tr w:rsidR="007E3CE9" w:rsidRPr="007E3CE9" w14:paraId="2B1C3F3E"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206C8258" w14:textId="522BA31E"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0</w:t>
            </w:r>
          </w:p>
        </w:tc>
        <w:tc>
          <w:tcPr>
            <w:tcW w:w="1843" w:type="dxa"/>
            <w:tcBorders>
              <w:top w:val="single" w:sz="4" w:space="0" w:color="auto"/>
              <w:left w:val="single" w:sz="4" w:space="0" w:color="auto"/>
              <w:bottom w:val="single" w:sz="4" w:space="0" w:color="auto"/>
              <w:right w:val="single" w:sz="4" w:space="0" w:color="auto"/>
            </w:tcBorders>
            <w:hideMark/>
          </w:tcPr>
          <w:p w14:paraId="7DD13E7C"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15</w:t>
            </w:r>
          </w:p>
        </w:tc>
        <w:tc>
          <w:tcPr>
            <w:tcW w:w="1843" w:type="dxa"/>
            <w:tcBorders>
              <w:top w:val="single" w:sz="4" w:space="0" w:color="auto"/>
              <w:left w:val="single" w:sz="4" w:space="0" w:color="auto"/>
              <w:bottom w:val="single" w:sz="4" w:space="0" w:color="auto"/>
              <w:right w:val="single" w:sz="4" w:space="0" w:color="auto"/>
            </w:tcBorders>
            <w:hideMark/>
          </w:tcPr>
          <w:p w14:paraId="5F57170D" w14:textId="77777777" w:rsidR="007E3CE9" w:rsidRPr="007E3CE9" w:rsidRDefault="007E3CE9" w:rsidP="00C16FC3">
            <w:pPr>
              <w:keepNext/>
              <w:keepLines/>
              <w:spacing w:after="0" w:line="240" w:lineRule="auto"/>
              <w:jc w:val="center"/>
              <w:rPr>
                <w:rFonts w:ascii="Arial" w:eastAsia="SimSun" w:hAnsi="Arial" w:cs="Arial"/>
                <w:sz w:val="18"/>
                <w:lang w:val="en-GB" w:eastAsia="zh-CN"/>
              </w:rPr>
            </w:pPr>
            <w:r w:rsidRPr="007E3CE9">
              <w:rPr>
                <w:rFonts w:ascii="Arial" w:eastAsia="Calibri" w:hAnsi="Arial" w:cs="Arial"/>
                <w:sz w:val="18"/>
                <w:lang w:eastAsia="zh-CN"/>
              </w:rPr>
              <w:t>1</w:t>
            </w:r>
          </w:p>
        </w:tc>
      </w:tr>
      <w:tr w:rsidR="007E3CE9" w:rsidRPr="007E3CE9" w14:paraId="0EC843D0"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75B2E81D"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w:t>
            </w:r>
          </w:p>
        </w:tc>
        <w:tc>
          <w:tcPr>
            <w:tcW w:w="1843" w:type="dxa"/>
            <w:tcBorders>
              <w:top w:val="single" w:sz="4" w:space="0" w:color="auto"/>
              <w:left w:val="single" w:sz="4" w:space="0" w:color="auto"/>
              <w:bottom w:val="single" w:sz="4" w:space="0" w:color="auto"/>
              <w:right w:val="single" w:sz="4" w:space="0" w:color="auto"/>
            </w:tcBorders>
            <w:hideMark/>
          </w:tcPr>
          <w:p w14:paraId="6B7FA262"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30</w:t>
            </w:r>
          </w:p>
        </w:tc>
        <w:tc>
          <w:tcPr>
            <w:tcW w:w="1843" w:type="dxa"/>
            <w:tcBorders>
              <w:top w:val="single" w:sz="4" w:space="0" w:color="auto"/>
              <w:left w:val="single" w:sz="4" w:space="0" w:color="auto"/>
              <w:bottom w:val="single" w:sz="4" w:space="0" w:color="auto"/>
              <w:right w:val="single" w:sz="4" w:space="0" w:color="auto"/>
            </w:tcBorders>
            <w:hideMark/>
          </w:tcPr>
          <w:p w14:paraId="1A858190"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5EE3E886"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33DE3584"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2</w:t>
            </w:r>
          </w:p>
        </w:tc>
        <w:tc>
          <w:tcPr>
            <w:tcW w:w="1843" w:type="dxa"/>
            <w:tcBorders>
              <w:top w:val="single" w:sz="4" w:space="0" w:color="auto"/>
              <w:left w:val="single" w:sz="4" w:space="0" w:color="auto"/>
              <w:bottom w:val="single" w:sz="4" w:space="0" w:color="auto"/>
              <w:right w:val="single" w:sz="4" w:space="0" w:color="auto"/>
            </w:tcBorders>
            <w:hideMark/>
          </w:tcPr>
          <w:p w14:paraId="6EB7D03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60</w:t>
            </w:r>
          </w:p>
        </w:tc>
        <w:tc>
          <w:tcPr>
            <w:tcW w:w="1843" w:type="dxa"/>
            <w:tcBorders>
              <w:top w:val="single" w:sz="4" w:space="0" w:color="auto"/>
              <w:left w:val="single" w:sz="4" w:space="0" w:color="auto"/>
              <w:bottom w:val="single" w:sz="4" w:space="0" w:color="auto"/>
              <w:right w:val="single" w:sz="4" w:space="0" w:color="auto"/>
            </w:tcBorders>
            <w:hideMark/>
          </w:tcPr>
          <w:p w14:paraId="1CBB777E"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1</w:t>
            </w:r>
          </w:p>
        </w:tc>
      </w:tr>
      <w:tr w:rsidR="007E3CE9" w:rsidRPr="007E3CE9" w14:paraId="4CABA681" w14:textId="77777777" w:rsidTr="002E4530">
        <w:trPr>
          <w:jc w:val="center"/>
        </w:trPr>
        <w:tc>
          <w:tcPr>
            <w:tcW w:w="1129" w:type="dxa"/>
            <w:tcBorders>
              <w:top w:val="single" w:sz="4" w:space="0" w:color="auto"/>
              <w:left w:val="single" w:sz="4" w:space="0" w:color="auto"/>
              <w:bottom w:val="single" w:sz="4" w:space="0" w:color="auto"/>
              <w:right w:val="single" w:sz="4" w:space="0" w:color="auto"/>
            </w:tcBorders>
            <w:hideMark/>
          </w:tcPr>
          <w:p w14:paraId="685C4F05"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3</w:t>
            </w:r>
          </w:p>
        </w:tc>
        <w:tc>
          <w:tcPr>
            <w:tcW w:w="1843" w:type="dxa"/>
            <w:tcBorders>
              <w:top w:val="single" w:sz="4" w:space="0" w:color="auto"/>
              <w:left w:val="single" w:sz="4" w:space="0" w:color="auto"/>
              <w:bottom w:val="single" w:sz="4" w:space="0" w:color="auto"/>
              <w:right w:val="single" w:sz="4" w:space="0" w:color="auto"/>
            </w:tcBorders>
            <w:hideMark/>
          </w:tcPr>
          <w:p w14:paraId="385053B3" w14:textId="77777777" w:rsidR="007E3CE9" w:rsidRPr="007E3CE9" w:rsidRDefault="007E3CE9" w:rsidP="00C16FC3">
            <w:pPr>
              <w:keepNext/>
              <w:keepLines/>
              <w:spacing w:after="0" w:line="240" w:lineRule="auto"/>
              <w:jc w:val="center"/>
              <w:rPr>
                <w:rFonts w:ascii="Arial" w:eastAsia="Batang" w:hAnsi="Arial" w:cs="Arial"/>
                <w:sz w:val="18"/>
                <w:lang w:val="en-GB" w:eastAsia="en-GB"/>
              </w:rPr>
            </w:pPr>
            <w:r w:rsidRPr="007E3CE9">
              <w:rPr>
                <w:rFonts w:ascii="Arial" w:eastAsia="Batang" w:hAnsi="Arial" w:cs="Arial"/>
                <w:sz w:val="18"/>
                <w:lang w:val="en-GB" w:eastAsia="en-GB"/>
              </w:rPr>
              <w:t>120</w:t>
            </w:r>
          </w:p>
        </w:tc>
        <w:tc>
          <w:tcPr>
            <w:tcW w:w="1843" w:type="dxa"/>
            <w:tcBorders>
              <w:top w:val="single" w:sz="4" w:space="0" w:color="auto"/>
              <w:left w:val="single" w:sz="4" w:space="0" w:color="auto"/>
              <w:bottom w:val="single" w:sz="4" w:space="0" w:color="auto"/>
              <w:right w:val="single" w:sz="4" w:space="0" w:color="auto"/>
            </w:tcBorders>
            <w:hideMark/>
          </w:tcPr>
          <w:p w14:paraId="7CA7CE8B" w14:textId="77777777" w:rsidR="007E3CE9" w:rsidRPr="007E3CE9" w:rsidRDefault="007E3CE9" w:rsidP="00C16FC3">
            <w:pPr>
              <w:keepNext/>
              <w:keepLines/>
              <w:spacing w:after="0" w:line="240" w:lineRule="auto"/>
              <w:jc w:val="center"/>
              <w:rPr>
                <w:rFonts w:ascii="Arial" w:eastAsia="SimSun" w:hAnsi="Arial" w:cs="Arial"/>
                <w:sz w:val="18"/>
                <w:lang w:eastAsia="zh-CN"/>
              </w:rPr>
            </w:pPr>
            <w:r w:rsidRPr="007E3CE9">
              <w:rPr>
                <w:rFonts w:ascii="Arial" w:eastAsia="Calibri" w:hAnsi="Arial" w:cs="Arial"/>
                <w:sz w:val="18"/>
                <w:lang w:eastAsia="zh-CN"/>
              </w:rPr>
              <w:t>2</w:t>
            </w:r>
          </w:p>
        </w:tc>
      </w:tr>
    </w:tbl>
    <w:p w14:paraId="76678F40" w14:textId="5586DDDE" w:rsidR="007E3CE9" w:rsidRPr="00C16FC3" w:rsidRDefault="007E3CE9" w:rsidP="007E3CE9">
      <w:pPr>
        <w:pStyle w:val="TH"/>
        <w:rPr>
          <w:rFonts w:eastAsia="SimSun"/>
          <w:sz w:val="22"/>
        </w:rPr>
      </w:pPr>
      <w:r w:rsidRPr="00C16FC3">
        <w:rPr>
          <w:sz w:val="22"/>
        </w:rPr>
        <w:t>Table 1: The minimum guard period between two SRS resources of an SRS resource set for antenna switching</w:t>
      </w:r>
    </w:p>
    <w:p w14:paraId="35A3B690" w14:textId="086200DD" w:rsidR="00FB4F2B" w:rsidRDefault="00FB4F2B" w:rsidP="007E3DAE">
      <w:pPr>
        <w:spacing w:line="276" w:lineRule="auto"/>
        <w:jc w:val="both"/>
        <w:rPr>
          <w:rFonts w:ascii="Arial" w:hAnsi="Arial" w:cs="Arial"/>
        </w:rPr>
      </w:pPr>
      <w:r>
        <w:rPr>
          <w:rFonts w:ascii="Arial" w:hAnsi="Arial" w:cs="Arial"/>
        </w:rPr>
        <w:t xml:space="preserve">As most of timing related values are scaled based on the absolute time durations, if we simply extrapolate </w:t>
      </w:r>
      <w:r w:rsidRPr="007E3CE9">
        <w:rPr>
          <w:rFonts w:ascii="Arial" w:hAnsi="Arial" w:cs="Arial"/>
        </w:rPr>
        <w:t>the required values for 480KHz and 960KHz relative to 120KHz we will end up with 8 and 16 symbols respectively.</w:t>
      </w:r>
      <w:r>
        <w:rPr>
          <w:rFonts w:ascii="Arial" w:hAnsi="Arial" w:cs="Arial"/>
        </w:rPr>
        <w:t xml:space="preserve"> </w:t>
      </w:r>
      <w:r w:rsidR="007316D1">
        <w:rPr>
          <w:rFonts w:ascii="Arial" w:hAnsi="Arial" w:cs="Arial"/>
        </w:rPr>
        <w:t>I</w:t>
      </w:r>
      <w:r>
        <w:rPr>
          <w:rFonts w:ascii="Arial" w:hAnsi="Arial" w:cs="Arial"/>
        </w:rPr>
        <w:t>t is important to support small values for the antenna switching gap considering multiplexing of multiple UEs in a cell</w:t>
      </w:r>
      <w:r w:rsidR="007316D1">
        <w:rPr>
          <w:rFonts w:ascii="Arial" w:hAnsi="Arial" w:cs="Arial"/>
        </w:rPr>
        <w:t>, however, the mandatory small values may be burdensome to UE implementation, especially for low implementation UEs</w:t>
      </w:r>
      <w:r>
        <w:rPr>
          <w:rFonts w:ascii="Arial" w:hAnsi="Arial" w:cs="Arial"/>
        </w:rPr>
        <w:t xml:space="preserve">. Having said that, we propose to </w:t>
      </w:r>
      <w:r w:rsidR="007316D1">
        <w:rPr>
          <w:rFonts w:ascii="Arial" w:hAnsi="Arial" w:cs="Arial"/>
        </w:rPr>
        <w:t>introduce</w:t>
      </w:r>
      <w:r>
        <w:rPr>
          <w:rFonts w:ascii="Arial" w:hAnsi="Arial" w:cs="Arial"/>
        </w:rPr>
        <w:t xml:space="preserve"> a UE capability to indicate one of [2, 8] for 480 kHz and [2, 16] for 960 kHz</w:t>
      </w:r>
      <w:r w:rsidR="007316D1">
        <w:rPr>
          <w:rFonts w:ascii="Arial" w:hAnsi="Arial" w:cs="Arial"/>
        </w:rPr>
        <w:t>, where 8 and 16 are mandatory values for 480 kHz and 960 kHz, respectively</w:t>
      </w:r>
      <w:r>
        <w:rPr>
          <w:rFonts w:ascii="Arial" w:hAnsi="Arial" w:cs="Arial"/>
        </w:rPr>
        <w:t xml:space="preserve">. </w:t>
      </w:r>
    </w:p>
    <w:p w14:paraId="4773875E" w14:textId="702FD71C"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CA4242E" w14:textId="4304A28F" w:rsidR="00FB4F2B" w:rsidRDefault="00FB4F2B" w:rsidP="00FB4F2B">
      <w:pPr>
        <w:spacing w:line="276" w:lineRule="auto"/>
        <w:jc w:val="both"/>
        <w:rPr>
          <w:rFonts w:ascii="Arial" w:hAnsi="Arial" w:cs="Arial"/>
          <w:i/>
          <w:iCs/>
        </w:rPr>
      </w:pPr>
      <w:r w:rsidRPr="00C913E6">
        <w:rPr>
          <w:rFonts w:ascii="Arial" w:hAnsi="Arial" w:cs="Arial"/>
          <w:b/>
          <w:bCs/>
          <w:i/>
          <w:iCs/>
        </w:rPr>
        <w:lastRenderedPageBreak/>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w:t>
      </w:r>
      <w:r w:rsidR="007316D1">
        <w:rPr>
          <w:rFonts w:ascii="Arial" w:hAnsi="Arial" w:cs="Arial"/>
          <w:i/>
          <w:iCs/>
        </w:rPr>
        <w:t xml:space="preserve">low values of antenna switching gap would bring efficient NR operation in 52-71GHz. </w:t>
      </w:r>
    </w:p>
    <w:p w14:paraId="5BDCA470" w14:textId="05C11666" w:rsidR="00FB4F2B" w:rsidRPr="00E66B36"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7316D1">
        <w:rPr>
          <w:rFonts w:ascii="Arial" w:hAnsi="Arial" w:cs="Arial"/>
          <w:i/>
          <w:iCs/>
        </w:rPr>
        <w:t xml:space="preserve">Introduce </w:t>
      </w:r>
      <w:r w:rsidR="007316D1" w:rsidRPr="007316D1">
        <w:rPr>
          <w:rFonts w:ascii="Arial" w:hAnsi="Arial" w:cs="Arial"/>
          <w:i/>
          <w:iCs/>
        </w:rPr>
        <w:t>a UE capability</w:t>
      </w:r>
      <w:r w:rsidR="007316D1">
        <w:rPr>
          <w:rFonts w:ascii="Arial" w:hAnsi="Arial" w:cs="Arial"/>
          <w:i/>
          <w:iCs/>
        </w:rPr>
        <w:t xml:space="preserve"> signaling</w:t>
      </w:r>
      <w:r w:rsidR="007316D1" w:rsidRPr="007316D1">
        <w:rPr>
          <w:rFonts w:ascii="Arial" w:hAnsi="Arial" w:cs="Arial"/>
          <w:i/>
          <w:iCs/>
        </w:rPr>
        <w:t xml:space="preserve"> to indicate one of [2, 8] for 480 kHz and [2, 16] for 960 kHz</w:t>
      </w:r>
      <w:r w:rsidR="007316D1">
        <w:rPr>
          <w:rFonts w:ascii="Arial" w:hAnsi="Arial" w:cs="Arial"/>
        </w:rPr>
        <w:t>, where 8 and 16 are mandatory values for 480 kHz and 960 kHz, respectively.</w:t>
      </w:r>
    </w:p>
    <w:p w14:paraId="38B19AA2" w14:textId="5BFCABED" w:rsidR="00FD2EF2" w:rsidRDefault="00FD2EF2" w:rsidP="00FD2EF2">
      <w:pPr>
        <w:pStyle w:val="Heading2"/>
      </w:pPr>
      <w:r>
        <w:t xml:space="preserve">Support of multiple </w:t>
      </w:r>
      <w:r w:rsidR="00FD277E">
        <w:t>beam</w:t>
      </w:r>
      <w:r w:rsidR="004669A1">
        <w:t>s</w:t>
      </w:r>
      <w:r>
        <w:t xml:space="preserve"> for multi-PDSCH</w:t>
      </w:r>
      <w:r w:rsidR="00FD277E">
        <w:t>/PUSCH</w:t>
      </w:r>
      <w:r>
        <w:t xml:space="preserve"> scheduling</w:t>
      </w:r>
    </w:p>
    <w:p w14:paraId="6CA2A9F5" w14:textId="44363991" w:rsidR="005B375F" w:rsidRDefault="00B56159" w:rsidP="005B375F">
      <w:pPr>
        <w:spacing w:line="276" w:lineRule="auto"/>
        <w:jc w:val="both"/>
        <w:rPr>
          <w:rFonts w:ascii="Arial" w:hAnsi="Arial" w:cs="Arial"/>
        </w:rPr>
      </w:pPr>
      <w:r>
        <w:rPr>
          <w:rFonts w:ascii="Arial" w:hAnsi="Arial" w:cs="Arial"/>
        </w:rPr>
        <w:t>In RAN1#</w:t>
      </w:r>
      <w:r w:rsidR="005B375F">
        <w:rPr>
          <w:rFonts w:ascii="Arial" w:hAnsi="Arial" w:cs="Arial"/>
        </w:rPr>
        <w:t>106</w:t>
      </w:r>
      <w:r>
        <w:rPr>
          <w:rFonts w:ascii="Arial" w:hAnsi="Arial" w:cs="Arial"/>
        </w:rPr>
        <w:t>-e [</w:t>
      </w:r>
      <w:r w:rsidR="00C646BC">
        <w:rPr>
          <w:rFonts w:ascii="Arial" w:hAnsi="Arial" w:cs="Arial"/>
        </w:rPr>
        <w:t>1</w:t>
      </w:r>
      <w:r>
        <w:rPr>
          <w:rFonts w:ascii="Arial" w:hAnsi="Arial" w:cs="Arial"/>
        </w:rPr>
        <w:t xml:space="preserve">], support of single </w:t>
      </w:r>
      <w:r w:rsidR="005B375F">
        <w:rPr>
          <w:rFonts w:ascii="Arial" w:hAnsi="Arial" w:cs="Arial"/>
        </w:rPr>
        <w:t xml:space="preserve">QCL assumption when scheduling offsets for all PDSCHs </w:t>
      </w:r>
      <w:r w:rsidR="005B375F" w:rsidRPr="005B375F">
        <w:rPr>
          <w:rFonts w:ascii="Arial" w:hAnsi="Arial" w:cs="Arial"/>
        </w:rPr>
        <w:t>≥ timeDurationForQCL</w:t>
      </w:r>
      <w:r w:rsidR="005B375F">
        <w:rPr>
          <w:rFonts w:ascii="Arial" w:hAnsi="Arial" w:cs="Arial"/>
        </w:rPr>
        <w:t xml:space="preserve"> (Case 1) is agreed for single TRP operation. However, when PDSCH scheduling offset for any PDSCH &lt; timeDurationForQCL, following two alternatives are agreed for down selection:</w:t>
      </w:r>
    </w:p>
    <w:p w14:paraId="4CB441B4" w14:textId="77777777" w:rsidR="005B375F" w:rsidRPr="005B375F" w:rsidRDefault="005B375F" w:rsidP="00E66B36">
      <w:pPr>
        <w:numPr>
          <w:ilvl w:val="0"/>
          <w:numId w:val="28"/>
        </w:numPr>
        <w:spacing w:line="276" w:lineRule="auto"/>
        <w:jc w:val="both"/>
        <w:rPr>
          <w:rFonts w:ascii="Arial" w:hAnsi="Arial" w:cs="Arial"/>
          <w:iCs/>
        </w:rPr>
      </w:pPr>
      <w:r w:rsidRPr="005B375F">
        <w:rPr>
          <w:rFonts w:ascii="Arial" w:hAnsi="Arial" w:cs="Arial"/>
          <w:iCs/>
        </w:rPr>
        <w:t xml:space="preserve">Alt 1: Single QCL assumption is applied for all scheduled PDSCHs </w:t>
      </w:r>
    </w:p>
    <w:p w14:paraId="3A498044" w14:textId="77777777" w:rsidR="005B375F" w:rsidRPr="005B375F" w:rsidRDefault="005B375F" w:rsidP="00E66B36">
      <w:pPr>
        <w:numPr>
          <w:ilvl w:val="1"/>
          <w:numId w:val="28"/>
        </w:numPr>
        <w:spacing w:line="276" w:lineRule="auto"/>
        <w:jc w:val="both"/>
        <w:rPr>
          <w:rFonts w:ascii="Arial" w:hAnsi="Arial" w:cs="Arial"/>
          <w:iCs/>
        </w:rPr>
      </w:pPr>
      <w:r w:rsidRPr="005B375F">
        <w:rPr>
          <w:rFonts w:ascii="Arial" w:hAnsi="Arial" w:cs="Arial"/>
          <w:iCs/>
        </w:rPr>
        <w:t>FFS: Details of single QCL assumption</w:t>
      </w:r>
    </w:p>
    <w:p w14:paraId="30CA7D6E" w14:textId="77777777" w:rsidR="005B375F" w:rsidRPr="005B375F" w:rsidRDefault="005B375F" w:rsidP="00E66B36">
      <w:pPr>
        <w:numPr>
          <w:ilvl w:val="0"/>
          <w:numId w:val="28"/>
        </w:numPr>
        <w:spacing w:line="276" w:lineRule="auto"/>
        <w:jc w:val="both"/>
        <w:rPr>
          <w:rFonts w:ascii="Arial" w:hAnsi="Arial" w:cs="Arial"/>
          <w:iCs/>
        </w:rPr>
      </w:pPr>
      <w:r w:rsidRPr="005B375F">
        <w:rPr>
          <w:rFonts w:ascii="Arial" w:hAnsi="Arial" w:cs="Arial"/>
          <w:iCs/>
        </w:rPr>
        <w:t xml:space="preserve">Alt 2: multiple QCL assumptions are applied </w:t>
      </w:r>
    </w:p>
    <w:p w14:paraId="633ABECC" w14:textId="77777777" w:rsidR="005B375F" w:rsidRPr="005B375F" w:rsidRDefault="005B375F" w:rsidP="00E66B36">
      <w:pPr>
        <w:numPr>
          <w:ilvl w:val="1"/>
          <w:numId w:val="28"/>
        </w:numPr>
        <w:spacing w:line="276" w:lineRule="auto"/>
        <w:jc w:val="both"/>
        <w:rPr>
          <w:rFonts w:ascii="Arial" w:hAnsi="Arial" w:cs="Arial"/>
          <w:iCs/>
        </w:rPr>
      </w:pPr>
      <w:r w:rsidRPr="005B375F">
        <w:rPr>
          <w:rFonts w:ascii="Arial" w:hAnsi="Arial" w:cs="Arial"/>
          <w:iCs/>
        </w:rPr>
        <w:t>FFS: Details of multiple QCL assumptions</w:t>
      </w:r>
    </w:p>
    <w:p w14:paraId="3B54C42E" w14:textId="11A7708F" w:rsidR="005B375F" w:rsidRDefault="005B375F" w:rsidP="004D565C">
      <w:pPr>
        <w:spacing w:line="276" w:lineRule="auto"/>
        <w:jc w:val="both"/>
        <w:rPr>
          <w:rFonts w:ascii="Arial" w:hAnsi="Arial" w:cs="Arial"/>
        </w:rPr>
      </w:pPr>
      <w:r>
        <w:rPr>
          <w:rFonts w:ascii="Arial" w:hAnsi="Arial" w:cs="Arial"/>
        </w:rPr>
        <w:t xml:space="preserve">When scheduling offsets are less than timeDurationForQCL, it is a reasonable choice to use a default beam. However, if the scheduling offsets &gt; timeDurationForQCL, there’s no reason to use the default beam instead of an optimized beam indicated by a TCI state field in DCI. </w:t>
      </w:r>
      <w:r w:rsidR="009C65E7">
        <w:rPr>
          <w:rFonts w:ascii="Arial" w:hAnsi="Arial" w:cs="Arial"/>
        </w:rPr>
        <w:t xml:space="preserve">Considering the performance benefits from the optimized beam rather than using the default beam such as a beam of latest CORESET with </w:t>
      </w:r>
      <w:r w:rsidR="008E3562">
        <w:rPr>
          <w:rFonts w:ascii="Arial" w:hAnsi="Arial" w:cs="Arial"/>
        </w:rPr>
        <w:t xml:space="preserve">a </w:t>
      </w:r>
      <w:r w:rsidR="009C65E7">
        <w:rPr>
          <w:rFonts w:ascii="Arial" w:hAnsi="Arial" w:cs="Arial"/>
        </w:rPr>
        <w:t xml:space="preserve">smallest CORESET ID, it is preferred to support multiple QCL assumptions (Alt 2). </w:t>
      </w:r>
      <w:r w:rsidR="008E3562" w:rsidRPr="00E24999">
        <w:rPr>
          <w:rFonts w:ascii="Arial" w:hAnsi="Arial" w:cs="Arial"/>
        </w:rPr>
        <w:t xml:space="preserve">In </w:t>
      </w:r>
      <w:r w:rsidR="008E3562">
        <w:rPr>
          <w:rFonts w:ascii="Arial" w:hAnsi="Arial" w:cs="Arial"/>
        </w:rPr>
        <w:t>addition, applying multiple QCL assumptions can be considered only if enough PDSCHs are scheduled after timeDurationForQCL</w:t>
      </w:r>
      <w:r w:rsidR="005F5810">
        <w:rPr>
          <w:rFonts w:ascii="Arial" w:hAnsi="Arial" w:cs="Arial"/>
        </w:rPr>
        <w:t xml:space="preserve"> or there is a large time gap between the timeDurationForQCL</w:t>
      </w:r>
      <w:r w:rsidR="005F5810" w:rsidDel="005F5810">
        <w:rPr>
          <w:rFonts w:ascii="Arial" w:hAnsi="Arial" w:cs="Arial"/>
        </w:rPr>
        <w:t xml:space="preserve"> </w:t>
      </w:r>
      <w:r w:rsidR="005C4B51">
        <w:rPr>
          <w:rFonts w:ascii="Arial" w:hAnsi="Arial" w:cs="Arial"/>
        </w:rPr>
        <w:t xml:space="preserve">finishing time and the last scheduled PDSCH </w:t>
      </w:r>
      <w:r w:rsidR="008E3562">
        <w:rPr>
          <w:rFonts w:ascii="Arial" w:hAnsi="Arial" w:cs="Arial"/>
        </w:rPr>
        <w:t>For example</w:t>
      </w:r>
      <w:r w:rsidR="008E3562" w:rsidRPr="00E24999">
        <w:rPr>
          <w:rFonts w:ascii="Arial" w:hAnsi="Arial" w:cs="Arial"/>
        </w:rPr>
        <w:t xml:space="preserve">, when a large percentage of PDSCHs are yet to be received after timeDurationForQCL, UE may switch the QCL assumption determined based on </w:t>
      </w:r>
      <w:r w:rsidR="008E3562">
        <w:rPr>
          <w:rFonts w:ascii="Arial" w:hAnsi="Arial" w:cs="Arial"/>
        </w:rPr>
        <w:t>an</w:t>
      </w:r>
      <w:r w:rsidR="008E3562" w:rsidRPr="00E24999">
        <w:rPr>
          <w:rFonts w:ascii="Arial" w:hAnsi="Arial" w:cs="Arial"/>
        </w:rPr>
        <w:t xml:space="preserve"> indicated TCI state by the DCI.  </w:t>
      </w:r>
    </w:p>
    <w:p w14:paraId="68EDCF95" w14:textId="6F4B3A60" w:rsidR="00755528" w:rsidRDefault="00755528" w:rsidP="004D565C">
      <w:pPr>
        <w:spacing w:line="276" w:lineRule="auto"/>
        <w:jc w:val="both"/>
        <w:rPr>
          <w:rFonts w:ascii="Arial" w:hAnsi="Arial" w:cs="Arial"/>
          <w:i/>
          <w:iCs/>
        </w:rPr>
      </w:pPr>
      <w:r w:rsidRPr="00FD277E">
        <w:rPr>
          <w:rFonts w:ascii="Arial" w:hAnsi="Arial" w:cs="Arial"/>
          <w:b/>
          <w:bCs/>
          <w:i/>
          <w:iCs/>
        </w:rPr>
        <w:t xml:space="preserve">Observation </w:t>
      </w:r>
      <w:r w:rsidR="00C646BC">
        <w:rPr>
          <w:rFonts w:ascii="Arial" w:hAnsi="Arial" w:cs="Arial"/>
          <w:b/>
          <w:bCs/>
          <w:i/>
          <w:iCs/>
        </w:rPr>
        <w:t>3</w:t>
      </w:r>
      <w:r w:rsidR="009C65E7">
        <w:rPr>
          <w:rFonts w:ascii="Arial" w:hAnsi="Arial" w:cs="Arial"/>
          <w:b/>
          <w:bCs/>
          <w:i/>
          <w:iCs/>
        </w:rPr>
        <w:t>:</w:t>
      </w:r>
      <w:r>
        <w:rPr>
          <w:rFonts w:ascii="Arial" w:hAnsi="Arial" w:cs="Arial"/>
        </w:rPr>
        <w:t xml:space="preserve"> </w:t>
      </w:r>
      <w:r w:rsidR="009C65E7">
        <w:rPr>
          <w:rFonts w:ascii="Arial" w:hAnsi="Arial" w:cs="Arial"/>
          <w:i/>
          <w:iCs/>
        </w:rPr>
        <w:t>More performance gain can be achieved by using an optimized beam indicated by a TCI state field in DCI rather than using a default beam.</w:t>
      </w:r>
    </w:p>
    <w:p w14:paraId="6FBEA77B" w14:textId="340B78C0" w:rsidR="009C65E7" w:rsidRDefault="009C65E7" w:rsidP="004D565C">
      <w:pPr>
        <w:spacing w:line="276" w:lineRule="auto"/>
        <w:jc w:val="both"/>
        <w:rPr>
          <w:rFonts w:ascii="Arial" w:hAnsi="Arial" w:cs="Arial"/>
          <w:i/>
          <w:iCs/>
        </w:rPr>
      </w:pPr>
      <w:r w:rsidRPr="00E66B36">
        <w:rPr>
          <w:rFonts w:ascii="Arial" w:hAnsi="Arial" w:cs="Arial"/>
          <w:b/>
          <w:bCs/>
          <w:i/>
          <w:iCs/>
        </w:rPr>
        <w:t xml:space="preserve">Proposal </w:t>
      </w:r>
      <w:r w:rsidR="00C646BC">
        <w:rPr>
          <w:rFonts w:ascii="Arial" w:hAnsi="Arial" w:cs="Arial"/>
          <w:b/>
          <w:bCs/>
          <w:i/>
          <w:iCs/>
        </w:rPr>
        <w:t>2</w:t>
      </w:r>
      <w:r w:rsidRPr="00E66B36">
        <w:rPr>
          <w:rFonts w:ascii="Arial" w:hAnsi="Arial" w:cs="Arial"/>
          <w:b/>
          <w:bCs/>
          <w:i/>
          <w:iCs/>
        </w:rPr>
        <w:t>:</w:t>
      </w:r>
      <w:r>
        <w:rPr>
          <w:rFonts w:ascii="Arial" w:hAnsi="Arial" w:cs="Arial"/>
          <w:i/>
          <w:iCs/>
        </w:rPr>
        <w:t xml:space="preserve"> Support multiple QCL assumptions (Alt 2) when PDSCH scheduling offset for any PDSCH &lt; timeDurationForQCL (Case 2).</w:t>
      </w:r>
    </w:p>
    <w:p w14:paraId="7E66389B" w14:textId="77777777" w:rsidR="00345251" w:rsidRDefault="00345251" w:rsidP="00E66B36">
      <w:pPr>
        <w:spacing w:line="276" w:lineRule="auto"/>
        <w:jc w:val="center"/>
        <w:rPr>
          <w:rFonts w:ascii="Arial" w:hAnsi="Arial" w:cs="Arial"/>
        </w:rPr>
      </w:pPr>
      <w:r>
        <w:rPr>
          <w:noProof/>
        </w:rPr>
        <w:drawing>
          <wp:inline distT="0" distB="0" distL="0" distR="0" wp14:anchorId="54268CDB" wp14:editId="6D0A55F7">
            <wp:extent cx="4933950" cy="21419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38716" cy="2143973"/>
                    </a:xfrm>
                    <a:prstGeom prst="rect">
                      <a:avLst/>
                    </a:prstGeom>
                  </pic:spPr>
                </pic:pic>
              </a:graphicData>
            </a:graphic>
          </wp:inline>
        </w:drawing>
      </w:r>
    </w:p>
    <w:p w14:paraId="32968985" w14:textId="5CA8B2CE" w:rsidR="00345251" w:rsidRDefault="00345251" w:rsidP="00345251">
      <w:pPr>
        <w:spacing w:line="276" w:lineRule="auto"/>
        <w:jc w:val="center"/>
        <w:rPr>
          <w:rFonts w:ascii="Arial" w:hAnsi="Arial" w:cs="Arial"/>
          <w:b/>
          <w:bCs/>
        </w:rPr>
      </w:pPr>
      <w:r w:rsidRPr="00E24999">
        <w:rPr>
          <w:rFonts w:ascii="Arial" w:hAnsi="Arial" w:cs="Arial"/>
          <w:b/>
          <w:bCs/>
        </w:rPr>
        <w:lastRenderedPageBreak/>
        <w:t>Figure 1: Opportunities to update QCL assumption based on the indicated TCI state</w:t>
      </w:r>
      <w:r>
        <w:rPr>
          <w:rFonts w:ascii="Arial" w:hAnsi="Arial" w:cs="Arial"/>
          <w:b/>
          <w:bCs/>
        </w:rPr>
        <w:t xml:space="preserve"> by the DCI</w:t>
      </w:r>
    </w:p>
    <w:p w14:paraId="4EE07781" w14:textId="77777777" w:rsidR="00C646BC" w:rsidRDefault="00C646BC" w:rsidP="00345251">
      <w:pPr>
        <w:spacing w:line="276" w:lineRule="auto"/>
        <w:jc w:val="center"/>
        <w:rPr>
          <w:rFonts w:ascii="Arial" w:hAnsi="Arial" w:cs="Arial"/>
          <w:b/>
          <w:bCs/>
        </w:rPr>
      </w:pPr>
    </w:p>
    <w:p w14:paraId="2694B02C" w14:textId="3A4E6C77" w:rsidR="00057F1F" w:rsidRPr="00E66B36" w:rsidRDefault="00057F1F" w:rsidP="00057F1F">
      <w:pPr>
        <w:spacing w:line="276" w:lineRule="auto"/>
        <w:jc w:val="both"/>
        <w:rPr>
          <w:rFonts w:ascii="Arial" w:hAnsi="Arial" w:cs="Arial"/>
        </w:rPr>
      </w:pPr>
      <w:r w:rsidRPr="00E66B36">
        <w:rPr>
          <w:rFonts w:ascii="Arial" w:hAnsi="Arial" w:cs="Arial"/>
        </w:rPr>
        <w:t>When UE determine</w:t>
      </w:r>
      <w:r w:rsidR="00345251">
        <w:rPr>
          <w:rFonts w:ascii="Arial" w:hAnsi="Arial" w:cs="Arial"/>
        </w:rPr>
        <w:t>s</w:t>
      </w:r>
      <w:r w:rsidRPr="00E66B36">
        <w:rPr>
          <w:rFonts w:ascii="Arial" w:hAnsi="Arial" w:cs="Arial"/>
        </w:rPr>
        <w:t xml:space="preserve"> to update the QCL assumption based on the indicated TCI state by the DCI, it may need to identify a suitable opportunity to perform the beam switching. To this end, one solution could be to identify </w:t>
      </w:r>
      <w:r w:rsidR="00015B7F">
        <w:rPr>
          <w:rFonts w:ascii="Arial" w:hAnsi="Arial" w:cs="Arial"/>
        </w:rPr>
        <w:t xml:space="preserve">a </w:t>
      </w:r>
      <w:r w:rsidRPr="00E66B36">
        <w:rPr>
          <w:rFonts w:ascii="Arial" w:hAnsi="Arial" w:cs="Arial"/>
        </w:rPr>
        <w:t xml:space="preserve">slot or </w:t>
      </w:r>
      <w:r w:rsidR="00015B7F">
        <w:rPr>
          <w:rFonts w:ascii="Arial" w:hAnsi="Arial" w:cs="Arial"/>
        </w:rPr>
        <w:t xml:space="preserve">a </w:t>
      </w:r>
      <w:r w:rsidRPr="00E66B36">
        <w:rPr>
          <w:rFonts w:ascii="Arial" w:hAnsi="Arial" w:cs="Arial"/>
        </w:rPr>
        <w:t xml:space="preserve">symbol level gap between the PDSCHs based on the TDRA as shown in Figure 1. </w:t>
      </w:r>
    </w:p>
    <w:p w14:paraId="33DBF6E5" w14:textId="37242B9A" w:rsidR="00057F1F" w:rsidRPr="00E66B36" w:rsidRDefault="00057F1F" w:rsidP="00E66B36">
      <w:pPr>
        <w:jc w:val="both"/>
        <w:rPr>
          <w:rFonts w:ascii="Arial" w:hAnsi="Arial" w:cs="Arial"/>
          <w:b/>
          <w:bCs/>
          <w:i/>
          <w:iCs/>
        </w:rPr>
      </w:pPr>
      <w:r w:rsidRPr="001C7798">
        <w:rPr>
          <w:rFonts w:ascii="Arial" w:hAnsi="Arial" w:cs="Arial"/>
          <w:b/>
          <w:bCs/>
          <w:i/>
          <w:iCs/>
        </w:rPr>
        <w:t xml:space="preserve">Observation </w:t>
      </w:r>
      <w:r w:rsidR="00C646BC">
        <w:rPr>
          <w:rFonts w:ascii="Arial" w:hAnsi="Arial" w:cs="Arial"/>
          <w:b/>
          <w:bCs/>
          <w:i/>
          <w:iCs/>
        </w:rPr>
        <w:t>4</w:t>
      </w:r>
      <w:r w:rsidRPr="001C7798">
        <w:rPr>
          <w:rFonts w:ascii="Arial" w:hAnsi="Arial" w:cs="Arial"/>
          <w:b/>
          <w:bCs/>
          <w:i/>
          <w:iCs/>
        </w:rPr>
        <w:t xml:space="preserve">: </w:t>
      </w:r>
      <w:r w:rsidRPr="001C7798">
        <w:rPr>
          <w:rFonts w:ascii="Arial" w:hAnsi="Arial" w:cs="Arial"/>
          <w:i/>
          <w:iCs/>
        </w:rPr>
        <w:t xml:space="preserve">When multiple PDSCHs are scheduled by </w:t>
      </w:r>
      <w:r w:rsidR="00DC159D">
        <w:rPr>
          <w:rFonts w:ascii="Arial" w:hAnsi="Arial" w:cs="Arial"/>
          <w:i/>
          <w:iCs/>
        </w:rPr>
        <w:t xml:space="preserve">a </w:t>
      </w:r>
      <w:r w:rsidRPr="001C7798">
        <w:rPr>
          <w:rFonts w:ascii="Arial" w:hAnsi="Arial" w:cs="Arial"/>
          <w:i/>
          <w:iCs/>
        </w:rPr>
        <w:t>single DCI,</w:t>
      </w:r>
      <w:r w:rsidRPr="001C7798">
        <w:rPr>
          <w:rFonts w:ascii="Arial" w:hAnsi="Arial" w:cs="Arial"/>
          <w:b/>
          <w:bCs/>
          <w:i/>
          <w:iCs/>
        </w:rPr>
        <w:t xml:space="preserve"> </w:t>
      </w:r>
      <w:r w:rsidRPr="001C7798">
        <w:rPr>
          <w:rFonts w:ascii="Arial" w:hAnsi="Arial" w:cs="Arial"/>
          <w:i/>
          <w:iCs/>
        </w:rPr>
        <w:t>suitable slot level or symbol level gaps between the scheduled PDSCHs could be used to switch the QCL assumption in between reception of the first and the last scheduled PDSCHs.</w:t>
      </w:r>
      <w:r w:rsidRPr="001C7798">
        <w:rPr>
          <w:rFonts w:ascii="Arial" w:hAnsi="Arial" w:cs="Arial"/>
          <w:b/>
          <w:bCs/>
          <w:i/>
          <w:iCs/>
        </w:rPr>
        <w:t xml:space="preserve"> </w:t>
      </w:r>
    </w:p>
    <w:p w14:paraId="02D87CA8" w14:textId="732DB2B2" w:rsidR="005D738A" w:rsidRDefault="005D738A" w:rsidP="005D738A">
      <w:pPr>
        <w:pStyle w:val="Heading2"/>
      </w:pPr>
      <w:r>
        <w:t>Support of RS transmission for shared spectrum operation</w:t>
      </w:r>
    </w:p>
    <w:p w14:paraId="4D154C11" w14:textId="77777777" w:rsidR="00BA5997" w:rsidRDefault="00BA5997" w:rsidP="004D565C">
      <w:pPr>
        <w:spacing w:line="276" w:lineRule="auto"/>
        <w:jc w:val="both"/>
        <w:rPr>
          <w:rFonts w:ascii="Arial" w:hAnsi="Arial" w:cs="Arial"/>
        </w:rPr>
      </w:pPr>
      <w:r>
        <w:rPr>
          <w:rFonts w:ascii="Arial" w:hAnsi="Arial" w:cs="Arial"/>
        </w:rPr>
        <w:t>In 52.6 – 71 GHz, channel access mechanisms may have some impacts on beam management and other CSI generation. For example, periodic and semi-static reference signals may need some enhancements to cope with LBT failure. For the enhancements, following aspects should be considered:</w:t>
      </w:r>
    </w:p>
    <w:p w14:paraId="44F33D1E" w14:textId="77777777" w:rsidR="00BA5997" w:rsidRDefault="00BA5997" w:rsidP="00BA5997">
      <w:pPr>
        <w:pStyle w:val="ListParagraph"/>
        <w:numPr>
          <w:ilvl w:val="0"/>
          <w:numId w:val="22"/>
        </w:numPr>
        <w:spacing w:line="276" w:lineRule="auto"/>
        <w:jc w:val="both"/>
        <w:rPr>
          <w:rFonts w:ascii="Arial" w:hAnsi="Arial" w:cs="Arial"/>
        </w:rPr>
      </w:pPr>
      <w:r>
        <w:rPr>
          <w:rFonts w:ascii="Arial" w:hAnsi="Arial" w:cs="Arial"/>
        </w:rPr>
        <w:t>Periodic TRS</w:t>
      </w:r>
    </w:p>
    <w:p w14:paraId="11211F92" w14:textId="7428E9C3" w:rsidR="00AF2675" w:rsidRDefault="00BA5997" w:rsidP="00BA5997">
      <w:pPr>
        <w:pStyle w:val="ListParagraph"/>
        <w:numPr>
          <w:ilvl w:val="1"/>
          <w:numId w:val="22"/>
        </w:numPr>
        <w:spacing w:line="276" w:lineRule="auto"/>
        <w:jc w:val="both"/>
        <w:rPr>
          <w:rFonts w:ascii="Arial" w:hAnsi="Arial" w:cs="Arial"/>
        </w:rPr>
      </w:pPr>
      <w:r>
        <w:rPr>
          <w:rFonts w:ascii="Arial" w:hAnsi="Arial" w:cs="Arial"/>
        </w:rPr>
        <w:t xml:space="preserve">UE achieves robust time/frequency tracking based on measuring SSBs and fine time/frequency tracking based on periodic TRSs (and possibly associated aperiodic TRSs). When channel is occupied (e.g., LBT is failed), gNB may not transmit the periodic TRSs and the UE may not identify the absence of the periodic TRSs. Incorrect measurement based on the periodic TRSs, which are not transmitted, </w:t>
      </w:r>
      <w:r w:rsidR="00AF2675">
        <w:rPr>
          <w:rFonts w:ascii="Arial" w:hAnsi="Arial" w:cs="Arial"/>
        </w:rPr>
        <w:t>may provide incorrect time/frequency tracking and performance degradation especially for high MCSs.</w:t>
      </w:r>
    </w:p>
    <w:p w14:paraId="3B76B5C7" w14:textId="77777777"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 failure recovery</w:t>
      </w:r>
    </w:p>
    <w:p w14:paraId="3200225A" w14:textId="609CD69F" w:rsidR="00BA5997" w:rsidRDefault="00AF2675" w:rsidP="00AF2675">
      <w:pPr>
        <w:pStyle w:val="ListParagraph"/>
        <w:numPr>
          <w:ilvl w:val="1"/>
          <w:numId w:val="22"/>
        </w:numPr>
        <w:spacing w:line="276" w:lineRule="auto"/>
        <w:jc w:val="both"/>
        <w:rPr>
          <w:rFonts w:ascii="Arial" w:hAnsi="Arial" w:cs="Arial"/>
        </w:rPr>
      </w:pPr>
      <w:r>
        <w:rPr>
          <w:rFonts w:ascii="Arial" w:hAnsi="Arial" w:cs="Arial"/>
        </w:rPr>
        <w:t xml:space="preserve">UE supports beam failure recovery by monitoring periodic RSs and selecting candidate RSs for the recovery. As well as periodic TRS, when channel is occupied, gNB may not transmit periodic RSs and the UE may not identify the absence of the periodic RSs. Due to the absence, measured hypothetical PDCCH BLER and RSRP may provide incorrect beam failure detection and new beam selection. </w:t>
      </w:r>
    </w:p>
    <w:p w14:paraId="7DC12987" w14:textId="1C7109A2" w:rsidR="00AF2675" w:rsidRDefault="00AF2675" w:rsidP="00AF2675">
      <w:pPr>
        <w:pStyle w:val="ListParagraph"/>
        <w:numPr>
          <w:ilvl w:val="0"/>
          <w:numId w:val="22"/>
        </w:numPr>
        <w:spacing w:line="276" w:lineRule="auto"/>
        <w:jc w:val="both"/>
        <w:rPr>
          <w:rFonts w:ascii="Arial" w:hAnsi="Arial" w:cs="Arial"/>
        </w:rPr>
      </w:pPr>
      <w:r>
        <w:rPr>
          <w:rFonts w:ascii="Arial" w:hAnsi="Arial" w:cs="Arial"/>
        </w:rPr>
        <w:t>Beam/CSI reporting based on periodic CSI-RS and semi-persistent CSI-RS</w:t>
      </w:r>
    </w:p>
    <w:p w14:paraId="378B4027" w14:textId="3AB20947" w:rsidR="00AF2675" w:rsidRPr="00BA5997" w:rsidRDefault="00AF2675" w:rsidP="00AF2675">
      <w:pPr>
        <w:pStyle w:val="ListParagraph"/>
        <w:numPr>
          <w:ilvl w:val="1"/>
          <w:numId w:val="22"/>
        </w:numPr>
        <w:spacing w:line="276" w:lineRule="auto"/>
        <w:jc w:val="both"/>
        <w:rPr>
          <w:rFonts w:ascii="Arial" w:hAnsi="Arial" w:cs="Arial"/>
        </w:rPr>
      </w:pPr>
      <w:r>
        <w:rPr>
          <w:rFonts w:ascii="Arial" w:hAnsi="Arial" w:cs="Arial"/>
        </w:rPr>
        <w:t xml:space="preserve">As well as fine time/frequency tracking and beam failure recovery, </w:t>
      </w:r>
      <w:r w:rsidR="001A4453">
        <w:rPr>
          <w:rFonts w:ascii="Arial" w:hAnsi="Arial" w:cs="Arial"/>
        </w:rPr>
        <w:t xml:space="preserve">beam and CSI may be corrupted due to the absence of the periodic CSI-RSs. In addition, semi-persistent CSI-RSs should be considered as the gNB is not able to activate/deactivate semi-persistent CSI-RS resource sets based on channel assessment results. </w:t>
      </w:r>
    </w:p>
    <w:p w14:paraId="118C58E8" w14:textId="2BDCC819" w:rsidR="00BA5997" w:rsidRPr="001A4453" w:rsidRDefault="001A4453" w:rsidP="004D565C">
      <w:pPr>
        <w:spacing w:line="276" w:lineRule="auto"/>
        <w:jc w:val="both"/>
        <w:rPr>
          <w:rFonts w:ascii="Arial" w:hAnsi="Arial" w:cs="Arial"/>
          <w:i/>
          <w:iCs/>
        </w:rPr>
      </w:pPr>
      <w:r w:rsidRPr="001A4453">
        <w:rPr>
          <w:rFonts w:ascii="Arial" w:hAnsi="Arial" w:cs="Arial"/>
          <w:b/>
          <w:bCs/>
          <w:i/>
          <w:iCs/>
        </w:rPr>
        <w:t xml:space="preserve">Observation </w:t>
      </w:r>
      <w:r w:rsidR="00C646BC">
        <w:rPr>
          <w:rFonts w:ascii="Arial" w:hAnsi="Arial" w:cs="Arial"/>
          <w:b/>
          <w:bCs/>
          <w:i/>
          <w:iCs/>
        </w:rPr>
        <w:t>5</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51279DBF" w14:textId="4FF53A07" w:rsidR="005242F7" w:rsidRPr="001A4453" w:rsidRDefault="00500AAB" w:rsidP="004D565C">
      <w:pPr>
        <w:spacing w:line="276" w:lineRule="auto"/>
        <w:jc w:val="both"/>
        <w:rPr>
          <w:rFonts w:ascii="Arial" w:hAnsi="Arial" w:cs="Arial"/>
          <w:i/>
          <w:iCs/>
        </w:rPr>
      </w:pPr>
      <w:bookmarkStart w:id="6" w:name="_Hlk83978671"/>
      <w:r w:rsidRPr="001A4453">
        <w:rPr>
          <w:rFonts w:ascii="Arial" w:hAnsi="Arial" w:cs="Arial"/>
          <w:b/>
          <w:bCs/>
          <w:i/>
          <w:iCs/>
        </w:rPr>
        <w:t xml:space="preserve">Proposal </w:t>
      </w:r>
      <w:r w:rsidR="00C646BC">
        <w:rPr>
          <w:rFonts w:ascii="Arial" w:hAnsi="Arial" w:cs="Arial"/>
          <w:b/>
          <w:bCs/>
          <w:i/>
          <w:iCs/>
        </w:rPr>
        <w:t>3</w:t>
      </w:r>
      <w:r w:rsidRPr="001A4453">
        <w:rPr>
          <w:rFonts w:ascii="Arial" w:hAnsi="Arial" w:cs="Arial"/>
          <w:b/>
          <w:bCs/>
          <w:i/>
          <w:iCs/>
        </w:rPr>
        <w:t>:</w:t>
      </w:r>
      <w:r w:rsidRPr="001A4453">
        <w:rPr>
          <w:rFonts w:ascii="Arial" w:hAnsi="Arial" w:cs="Arial"/>
          <w:i/>
          <w:iCs/>
        </w:rPr>
        <w:t xml:space="preserve"> Introduce a</w:t>
      </w:r>
      <w:r w:rsidR="001A4453" w:rsidRPr="001A4453">
        <w:rPr>
          <w:rFonts w:ascii="Arial" w:hAnsi="Arial" w:cs="Arial"/>
          <w:i/>
          <w:iCs/>
        </w:rPr>
        <w:t>n enhanced</w:t>
      </w:r>
      <w:r w:rsidRPr="001A4453">
        <w:rPr>
          <w:rFonts w:ascii="Arial" w:hAnsi="Arial" w:cs="Arial"/>
          <w:i/>
          <w:iCs/>
        </w:rPr>
        <w:t xml:space="preserve"> mechanism to patch non-transmitted </w:t>
      </w:r>
      <w:r w:rsidR="001A4453">
        <w:rPr>
          <w:rFonts w:ascii="Arial" w:hAnsi="Arial" w:cs="Arial"/>
          <w:i/>
          <w:iCs/>
        </w:rPr>
        <w:t xml:space="preserve">periodic/semi-persistent </w:t>
      </w:r>
      <w:r w:rsidRPr="001A4453">
        <w:rPr>
          <w:rFonts w:ascii="Arial" w:hAnsi="Arial" w:cs="Arial"/>
          <w:i/>
          <w:iCs/>
        </w:rPr>
        <w:t>RSs due to LBT failures</w:t>
      </w:r>
      <w:r w:rsidR="00102C78">
        <w:rPr>
          <w:rFonts w:ascii="Arial" w:hAnsi="Arial" w:cs="Arial"/>
          <w:i/>
          <w:iCs/>
        </w:rPr>
        <w:t>.</w:t>
      </w:r>
    </w:p>
    <w:bookmarkEnd w:id="6"/>
    <w:p w14:paraId="52E39191" w14:textId="18CC9D99" w:rsidR="005D738A" w:rsidRDefault="008045FE" w:rsidP="001B01FC">
      <w:pPr>
        <w:spacing w:after="120" w:line="276" w:lineRule="auto"/>
        <w:jc w:val="both"/>
        <w:rPr>
          <w:rFonts w:ascii="Arial" w:hAnsi="Arial" w:cs="Arial"/>
          <w:bCs/>
        </w:rPr>
      </w:pPr>
      <w:r>
        <w:rPr>
          <w:rFonts w:ascii="Arial" w:hAnsi="Arial" w:cs="Arial"/>
          <w:bCs/>
        </w:rPr>
        <w:t xml:space="preserve">One possible way to patch non-transmitted periodic/semi-persistent RSs would be supporting candidate RS resources for periodic/semi-persistent RSs. For example, the UE may be configured with candidate </w:t>
      </w:r>
      <w:r>
        <w:rPr>
          <w:rFonts w:ascii="Arial" w:hAnsi="Arial" w:cs="Arial"/>
          <w:bCs/>
        </w:rPr>
        <w:lastRenderedPageBreak/>
        <w:t xml:space="preserve">RS resources in addition to the periodic/semi-persistent RSs. </w:t>
      </w:r>
      <w:r w:rsidR="00CE47F4">
        <w:rPr>
          <w:rFonts w:ascii="Arial" w:hAnsi="Arial" w:cs="Arial"/>
          <w:bCs/>
        </w:rPr>
        <w:t xml:space="preserve">As shown in Figure 1, the UE can utilize candidate RSs when the periodic/semi-persistent RSs are not transmitted due to LBT failure. In addition, gNB indication for pre-emption of not transmitted periodic/semi-persistent RSs should be considered to achieve accurate fine time/frequency tracking, beam failure recovery and beam/CSI. </w:t>
      </w:r>
    </w:p>
    <w:p w14:paraId="1A9A004F" w14:textId="3B71F795" w:rsidR="008045FE" w:rsidRDefault="008045FE" w:rsidP="001B01FC">
      <w:pPr>
        <w:spacing w:after="120" w:line="276" w:lineRule="auto"/>
        <w:jc w:val="both"/>
        <w:rPr>
          <w:rFonts w:ascii="Arial" w:hAnsi="Arial" w:cs="Arial"/>
          <w:bCs/>
        </w:rPr>
      </w:pPr>
    </w:p>
    <w:p w14:paraId="1E33D231" w14:textId="0C0554B4" w:rsidR="00CE47F4" w:rsidRDefault="00CE47F4" w:rsidP="001B01FC">
      <w:pPr>
        <w:spacing w:after="120" w:line="276" w:lineRule="auto"/>
        <w:jc w:val="both"/>
        <w:rPr>
          <w:rFonts w:ascii="Arial" w:hAnsi="Arial" w:cs="Arial"/>
          <w:bCs/>
        </w:rPr>
      </w:pPr>
      <w:r>
        <w:rPr>
          <w:rFonts w:ascii="Arial" w:hAnsi="Arial" w:cs="Arial"/>
          <w:bCs/>
          <w:noProof/>
        </w:rPr>
        <w:drawing>
          <wp:inline distT="0" distB="0" distL="0" distR="0" wp14:anchorId="56B573E0" wp14:editId="28B00BCE">
            <wp:extent cx="6573925" cy="2222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04104" cy="2232277"/>
                    </a:xfrm>
                    <a:prstGeom prst="rect">
                      <a:avLst/>
                    </a:prstGeom>
                    <a:noFill/>
                  </pic:spPr>
                </pic:pic>
              </a:graphicData>
            </a:graphic>
          </wp:inline>
        </w:drawing>
      </w:r>
    </w:p>
    <w:p w14:paraId="67CE20C2" w14:textId="06BE541A" w:rsidR="00C646BC" w:rsidRPr="001E23A0" w:rsidRDefault="00C646BC" w:rsidP="00C646BC">
      <w:pPr>
        <w:pStyle w:val="Caption"/>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2</w:t>
      </w:r>
      <w:r w:rsidRPr="001E23A0">
        <w:rPr>
          <w:rFonts w:ascii="Arial" w:hAnsi="Arial" w:cs="Arial"/>
        </w:rPr>
        <w:t xml:space="preserve"> </w:t>
      </w:r>
      <w:r>
        <w:rPr>
          <w:rFonts w:ascii="Arial" w:hAnsi="Arial" w:cs="Arial"/>
          <w:b w:val="0"/>
          <w:bCs w:val="0"/>
        </w:rPr>
        <w:t>Example operation of candidate RS based on LBT failure</w:t>
      </w:r>
    </w:p>
    <w:p w14:paraId="438F3417" w14:textId="77777777" w:rsidR="00C646BC" w:rsidRDefault="00C646BC" w:rsidP="001B01FC">
      <w:pPr>
        <w:spacing w:after="120" w:line="276" w:lineRule="auto"/>
        <w:jc w:val="both"/>
        <w:rPr>
          <w:rFonts w:ascii="Arial" w:hAnsi="Arial" w:cs="Arial"/>
          <w:bCs/>
        </w:rPr>
      </w:pPr>
    </w:p>
    <w:p w14:paraId="6A9FB511" w14:textId="0AB92373" w:rsidR="00CE47F4" w:rsidRDefault="00CE47F4" w:rsidP="00CE47F4">
      <w:pPr>
        <w:spacing w:line="276" w:lineRule="auto"/>
        <w:jc w:val="both"/>
        <w:rPr>
          <w:rFonts w:ascii="Arial" w:hAnsi="Arial" w:cs="Arial"/>
          <w:i/>
          <w:iCs/>
        </w:rPr>
      </w:pPr>
      <w:r w:rsidRPr="001A4453">
        <w:rPr>
          <w:rFonts w:ascii="Arial" w:hAnsi="Arial" w:cs="Arial"/>
          <w:b/>
          <w:bCs/>
          <w:i/>
          <w:iCs/>
        </w:rPr>
        <w:t xml:space="preserve">Proposal </w:t>
      </w:r>
      <w:r w:rsidR="00C646BC">
        <w:rPr>
          <w:rFonts w:ascii="Arial" w:hAnsi="Arial" w:cs="Arial"/>
          <w:b/>
          <w:bCs/>
          <w:i/>
          <w:iCs/>
        </w:rPr>
        <w:t>4</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69B781A4" w14:textId="7B91AC2B" w:rsidR="00CE47F4" w:rsidRPr="001A4453" w:rsidRDefault="00CE47F4" w:rsidP="00CE47F4">
      <w:pPr>
        <w:spacing w:line="276" w:lineRule="auto"/>
        <w:jc w:val="both"/>
        <w:rPr>
          <w:rFonts w:ascii="Arial" w:hAnsi="Arial" w:cs="Arial"/>
          <w:i/>
          <w:iCs/>
        </w:rPr>
      </w:pPr>
      <w:r w:rsidRPr="00CE47F4">
        <w:rPr>
          <w:rFonts w:ascii="Arial" w:hAnsi="Arial" w:cs="Arial"/>
          <w:b/>
          <w:bCs/>
          <w:i/>
          <w:iCs/>
        </w:rPr>
        <w:t>Proposal</w:t>
      </w:r>
      <w:r w:rsidR="00B56159">
        <w:rPr>
          <w:rFonts w:ascii="Arial" w:hAnsi="Arial" w:cs="Arial"/>
          <w:b/>
          <w:bCs/>
          <w:i/>
          <w:iCs/>
        </w:rPr>
        <w:t xml:space="preserve"> </w:t>
      </w:r>
      <w:r w:rsidR="00C646BC">
        <w:rPr>
          <w:rFonts w:ascii="Arial" w:hAnsi="Arial" w:cs="Arial"/>
          <w:b/>
          <w:bCs/>
          <w:i/>
          <w:iCs/>
        </w:rPr>
        <w:t>5</w:t>
      </w:r>
      <w:r w:rsidRPr="00CE47F4">
        <w:rPr>
          <w:rFonts w:ascii="Arial" w:hAnsi="Arial" w:cs="Arial"/>
          <w:b/>
          <w:bCs/>
          <w:i/>
          <w:iCs/>
        </w:rPr>
        <w:t xml:space="preserve">: </w:t>
      </w:r>
      <w:r w:rsidRPr="00102C78">
        <w:rPr>
          <w:rFonts w:ascii="Arial" w:hAnsi="Arial" w:cs="Arial"/>
          <w:i/>
          <w:iCs/>
        </w:rPr>
        <w:t>Support RS pre-emption based on gNB indication to achieve</w:t>
      </w:r>
      <w:r w:rsidRPr="00102C78">
        <w:rPr>
          <w:rFonts w:ascii="Arial" w:hAnsi="Arial" w:cs="Arial"/>
          <w:bCs/>
          <w:i/>
          <w:iCs/>
        </w:rPr>
        <w:t xml:space="preserve"> accurate fine time/frequency tracking, beam failure recovery and beam/CSI.</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6A3FA31B"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3A75C732" w14:textId="77777777"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FB4F2B">
        <w:rPr>
          <w:rFonts w:ascii="Arial" w:hAnsi="Arial" w:cs="Arial"/>
          <w:i/>
          <w:iCs/>
        </w:rPr>
        <w:t xml:space="preserve">The simple extrapolation of the number of symbols required for antenna switching </w:t>
      </w:r>
      <w:r>
        <w:rPr>
          <w:rFonts w:ascii="Arial" w:hAnsi="Arial" w:cs="Arial"/>
          <w:i/>
          <w:iCs/>
        </w:rPr>
        <w:t xml:space="preserve">gap </w:t>
      </w:r>
      <w:r w:rsidRPr="00FB4F2B">
        <w:rPr>
          <w:rFonts w:ascii="Arial" w:hAnsi="Arial" w:cs="Arial"/>
          <w:i/>
          <w:iCs/>
        </w:rPr>
        <w:t>with SRS resource set transition will lead to 8 and 16 blanked symbols respectively for 480 and 960KHz SCS</w:t>
      </w:r>
      <w:r>
        <w:rPr>
          <w:rFonts w:ascii="Arial" w:hAnsi="Arial" w:cs="Arial"/>
          <w:i/>
          <w:iCs/>
        </w:rPr>
        <w:t xml:space="preserve"> if we use the absolute time duration for low SCSs</w:t>
      </w:r>
      <w:r w:rsidRPr="00FB4F2B">
        <w:rPr>
          <w:rFonts w:ascii="Arial" w:hAnsi="Arial" w:cs="Arial"/>
          <w:i/>
          <w:iCs/>
        </w:rPr>
        <w:t>.</w:t>
      </w:r>
    </w:p>
    <w:p w14:paraId="53679B22" w14:textId="13F23FAC" w:rsidR="00C646BC" w:rsidRDefault="00C646BC" w:rsidP="00C646BC">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Supporting low values of antenna switching gap would bring efficient NR operation in 52-71GHz. </w:t>
      </w:r>
    </w:p>
    <w:p w14:paraId="3261E953" w14:textId="77777777" w:rsidR="00C646BC" w:rsidRDefault="00C646BC" w:rsidP="00C646BC">
      <w:pPr>
        <w:spacing w:line="276" w:lineRule="auto"/>
        <w:jc w:val="both"/>
        <w:rPr>
          <w:rFonts w:ascii="Arial" w:hAnsi="Arial" w:cs="Arial"/>
          <w:i/>
          <w:iCs/>
        </w:rPr>
      </w:pPr>
      <w:r w:rsidRPr="00FD277E">
        <w:rPr>
          <w:rFonts w:ascii="Arial" w:hAnsi="Arial" w:cs="Arial"/>
          <w:b/>
          <w:bCs/>
          <w:i/>
          <w:iCs/>
        </w:rPr>
        <w:t xml:space="preserve">Observation </w:t>
      </w:r>
      <w:r>
        <w:rPr>
          <w:rFonts w:ascii="Arial" w:hAnsi="Arial" w:cs="Arial"/>
          <w:b/>
          <w:bCs/>
          <w:i/>
          <w:iCs/>
        </w:rPr>
        <w:t>3:</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5AEC9241" w14:textId="458F4FBB" w:rsidR="00C646BC" w:rsidRDefault="00C646BC" w:rsidP="00C646BC">
      <w:pPr>
        <w:jc w:val="both"/>
        <w:rPr>
          <w:rFonts w:ascii="Arial" w:hAnsi="Arial" w:cs="Arial"/>
          <w:b/>
          <w:bCs/>
          <w:i/>
          <w:iCs/>
        </w:rPr>
      </w:pPr>
      <w:r w:rsidRPr="001C7798">
        <w:rPr>
          <w:rFonts w:ascii="Arial" w:hAnsi="Arial" w:cs="Arial"/>
          <w:b/>
          <w:bCs/>
          <w:i/>
          <w:iCs/>
        </w:rPr>
        <w:t xml:space="preserve">Observation </w:t>
      </w:r>
      <w:r>
        <w:rPr>
          <w:rFonts w:ascii="Arial" w:hAnsi="Arial" w:cs="Arial"/>
          <w:b/>
          <w:bCs/>
          <w:i/>
          <w:iCs/>
        </w:rPr>
        <w:t>4</w:t>
      </w:r>
      <w:r w:rsidRPr="001C7798">
        <w:rPr>
          <w:rFonts w:ascii="Arial" w:hAnsi="Arial" w:cs="Arial"/>
          <w:b/>
          <w:bCs/>
          <w:i/>
          <w:iCs/>
        </w:rPr>
        <w:t xml:space="preserve">: </w:t>
      </w:r>
      <w:r w:rsidRPr="001C7798">
        <w:rPr>
          <w:rFonts w:ascii="Arial" w:hAnsi="Arial" w:cs="Arial"/>
          <w:i/>
          <w:iCs/>
        </w:rPr>
        <w:t xml:space="preserve">When multiple PDSCHs are scheduled by </w:t>
      </w:r>
      <w:r>
        <w:rPr>
          <w:rFonts w:ascii="Arial" w:hAnsi="Arial" w:cs="Arial"/>
          <w:i/>
          <w:iCs/>
        </w:rPr>
        <w:t xml:space="preserve">a </w:t>
      </w:r>
      <w:r w:rsidRPr="001C7798">
        <w:rPr>
          <w:rFonts w:ascii="Arial" w:hAnsi="Arial" w:cs="Arial"/>
          <w:i/>
          <w:iCs/>
        </w:rPr>
        <w:t>single DCI,</w:t>
      </w:r>
      <w:r w:rsidRPr="001C7798">
        <w:rPr>
          <w:rFonts w:ascii="Arial" w:hAnsi="Arial" w:cs="Arial"/>
          <w:b/>
          <w:bCs/>
          <w:i/>
          <w:iCs/>
        </w:rPr>
        <w:t xml:space="preserve"> </w:t>
      </w:r>
      <w:r w:rsidRPr="001C7798">
        <w:rPr>
          <w:rFonts w:ascii="Arial" w:hAnsi="Arial" w:cs="Arial"/>
          <w:i/>
          <w:iCs/>
        </w:rPr>
        <w:t>suitable slot level or symbol level gaps between the scheduled PDSCHs could be used to switch the QCL assumption in between reception of the first and the last scheduled PDSCHs.</w:t>
      </w:r>
      <w:r w:rsidRPr="001C7798">
        <w:rPr>
          <w:rFonts w:ascii="Arial" w:hAnsi="Arial" w:cs="Arial"/>
          <w:b/>
          <w:bCs/>
          <w:i/>
          <w:iCs/>
        </w:rPr>
        <w:t xml:space="preserve"> </w:t>
      </w:r>
    </w:p>
    <w:p w14:paraId="667CA185" w14:textId="77777777" w:rsidR="00C646BC" w:rsidRPr="001A4453" w:rsidRDefault="00C646BC" w:rsidP="00C646BC">
      <w:pPr>
        <w:spacing w:line="276" w:lineRule="auto"/>
        <w:jc w:val="both"/>
        <w:rPr>
          <w:rFonts w:ascii="Arial" w:hAnsi="Arial" w:cs="Arial"/>
          <w:i/>
          <w:iCs/>
        </w:rPr>
      </w:pPr>
      <w:r w:rsidRPr="001A4453">
        <w:rPr>
          <w:rFonts w:ascii="Arial" w:hAnsi="Arial" w:cs="Arial"/>
          <w:b/>
          <w:bCs/>
          <w:i/>
          <w:iCs/>
        </w:rPr>
        <w:t xml:space="preserve">Observation </w:t>
      </w:r>
      <w:r>
        <w:rPr>
          <w:rFonts w:ascii="Arial" w:hAnsi="Arial" w:cs="Arial"/>
          <w:b/>
          <w:bCs/>
          <w:i/>
          <w:iCs/>
        </w:rPr>
        <w:t>5</w:t>
      </w:r>
      <w:r w:rsidRPr="001A4453">
        <w:rPr>
          <w:rFonts w:ascii="Arial" w:hAnsi="Arial" w:cs="Arial"/>
          <w:b/>
          <w:bCs/>
          <w:i/>
          <w:iCs/>
        </w:rPr>
        <w:t>:</w:t>
      </w:r>
      <w:r w:rsidRPr="001A4453">
        <w:rPr>
          <w:rFonts w:ascii="Arial" w:hAnsi="Arial" w:cs="Arial"/>
          <w:i/>
          <w:iCs/>
        </w:rPr>
        <w:t xml:space="preserve"> Absence of periodic/semi-persistent RSs may impact on performance of fine time/frequency tracking, beam failure recovery and beam/CSI reporting</w:t>
      </w:r>
      <w:r>
        <w:rPr>
          <w:rFonts w:ascii="Arial" w:hAnsi="Arial" w:cs="Arial"/>
          <w:i/>
          <w:iCs/>
        </w:rPr>
        <w:t>.</w:t>
      </w:r>
    </w:p>
    <w:p w14:paraId="48B75C9D" w14:textId="77777777" w:rsidR="00C646BC" w:rsidRPr="00E66B36" w:rsidRDefault="00C646BC" w:rsidP="00C646BC">
      <w:pPr>
        <w:spacing w:line="276" w:lineRule="auto"/>
        <w:jc w:val="both"/>
        <w:rPr>
          <w:rFonts w:ascii="Arial" w:hAnsi="Arial" w:cs="Arial"/>
        </w:rPr>
      </w:pPr>
      <w:r w:rsidRPr="00406DD8">
        <w:rPr>
          <w:rFonts w:ascii="Arial" w:hAnsi="Arial" w:cs="Arial"/>
          <w:b/>
          <w:bCs/>
          <w:i/>
          <w:iCs/>
        </w:rPr>
        <w:lastRenderedPageBreak/>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Introduce </w:t>
      </w:r>
      <w:r w:rsidRPr="007316D1">
        <w:rPr>
          <w:rFonts w:ascii="Arial" w:hAnsi="Arial" w:cs="Arial"/>
          <w:i/>
          <w:iCs/>
        </w:rPr>
        <w:t>a UE capability</w:t>
      </w:r>
      <w:r>
        <w:rPr>
          <w:rFonts w:ascii="Arial" w:hAnsi="Arial" w:cs="Arial"/>
          <w:i/>
          <w:iCs/>
        </w:rPr>
        <w:t xml:space="preserve"> signaling</w:t>
      </w:r>
      <w:r w:rsidRPr="007316D1">
        <w:rPr>
          <w:rFonts w:ascii="Arial" w:hAnsi="Arial" w:cs="Arial"/>
          <w:i/>
          <w:iCs/>
        </w:rPr>
        <w:t xml:space="preserve"> to indicate one of [2, 8] for 480 kHz and [2, 16] for 960 kHz</w:t>
      </w:r>
      <w:r>
        <w:rPr>
          <w:rFonts w:ascii="Arial" w:hAnsi="Arial" w:cs="Arial"/>
        </w:rPr>
        <w:t>, where 8 and 16 are mandatory values for 480 kHz and 960 kHz, respectively.</w:t>
      </w:r>
    </w:p>
    <w:p w14:paraId="4B2B6F29" w14:textId="77777777" w:rsidR="00C646BC" w:rsidRDefault="00C646BC" w:rsidP="00C646BC">
      <w:pPr>
        <w:spacing w:line="276" w:lineRule="auto"/>
        <w:jc w:val="both"/>
        <w:rPr>
          <w:rFonts w:ascii="Arial" w:hAnsi="Arial" w:cs="Arial"/>
          <w:i/>
          <w:iCs/>
        </w:rPr>
      </w:pPr>
      <w:r w:rsidRPr="00E66B36">
        <w:rPr>
          <w:rFonts w:ascii="Arial" w:hAnsi="Arial" w:cs="Arial"/>
          <w:b/>
          <w:bCs/>
          <w:i/>
          <w:iCs/>
        </w:rPr>
        <w:t xml:space="preserve">Proposal </w:t>
      </w:r>
      <w:r>
        <w:rPr>
          <w:rFonts w:ascii="Arial" w:hAnsi="Arial" w:cs="Arial"/>
          <w:b/>
          <w:bCs/>
          <w:i/>
          <w:iCs/>
        </w:rPr>
        <w:t>2</w:t>
      </w:r>
      <w:r w:rsidRPr="00E66B36">
        <w:rPr>
          <w:rFonts w:ascii="Arial" w:hAnsi="Arial" w:cs="Arial"/>
          <w:b/>
          <w:bCs/>
          <w:i/>
          <w:iCs/>
        </w:rPr>
        <w:t>:</w:t>
      </w:r>
      <w:r>
        <w:rPr>
          <w:rFonts w:ascii="Arial" w:hAnsi="Arial" w:cs="Arial"/>
          <w:i/>
          <w:iCs/>
        </w:rPr>
        <w:t xml:space="preserve"> Support multiple QCL assumptions (Alt 2) when PDSCH scheduling offset for any PDSCH &lt; timeDurationForQCL (Case 2).</w:t>
      </w:r>
    </w:p>
    <w:p w14:paraId="3AD37674" w14:textId="77777777" w:rsidR="00C646BC" w:rsidRPr="001A4453" w:rsidRDefault="00C646BC" w:rsidP="00C646BC">
      <w:pPr>
        <w:spacing w:line="276" w:lineRule="auto"/>
        <w:jc w:val="both"/>
        <w:rPr>
          <w:rFonts w:ascii="Arial" w:hAnsi="Arial" w:cs="Arial"/>
          <w:i/>
          <w:iCs/>
        </w:rPr>
      </w:pPr>
      <w:r w:rsidRPr="001A4453">
        <w:rPr>
          <w:rFonts w:ascii="Arial" w:hAnsi="Arial" w:cs="Arial"/>
          <w:b/>
          <w:bCs/>
          <w:i/>
          <w:iCs/>
        </w:rPr>
        <w:t xml:space="preserve">Proposal </w:t>
      </w:r>
      <w:r>
        <w:rPr>
          <w:rFonts w:ascii="Arial" w:hAnsi="Arial" w:cs="Arial"/>
          <w:b/>
          <w:bCs/>
          <w:i/>
          <w:iCs/>
        </w:rPr>
        <w:t>3</w:t>
      </w:r>
      <w:r w:rsidRPr="001A4453">
        <w:rPr>
          <w:rFonts w:ascii="Arial" w:hAnsi="Arial" w:cs="Arial"/>
          <w:b/>
          <w:bCs/>
          <w:i/>
          <w:iCs/>
        </w:rPr>
        <w:t>:</w:t>
      </w:r>
      <w:r w:rsidRPr="001A4453">
        <w:rPr>
          <w:rFonts w:ascii="Arial" w:hAnsi="Arial" w:cs="Arial"/>
          <w:i/>
          <w:iCs/>
        </w:rPr>
        <w:t xml:space="preserve"> Introduce an enhanced mechanism to patch non-transmitted </w:t>
      </w:r>
      <w:r>
        <w:rPr>
          <w:rFonts w:ascii="Arial" w:hAnsi="Arial" w:cs="Arial"/>
          <w:i/>
          <w:iCs/>
        </w:rPr>
        <w:t xml:space="preserve">periodic/semi-persistent </w:t>
      </w:r>
      <w:r w:rsidRPr="001A4453">
        <w:rPr>
          <w:rFonts w:ascii="Arial" w:hAnsi="Arial" w:cs="Arial"/>
          <w:i/>
          <w:iCs/>
        </w:rPr>
        <w:t>RSs due to LBT failures</w:t>
      </w:r>
      <w:r>
        <w:rPr>
          <w:rFonts w:ascii="Arial" w:hAnsi="Arial" w:cs="Arial"/>
          <w:i/>
          <w:iCs/>
        </w:rPr>
        <w:t>.</w:t>
      </w:r>
    </w:p>
    <w:p w14:paraId="4EFE2821" w14:textId="77777777" w:rsidR="00C646BC" w:rsidRDefault="00C646BC" w:rsidP="00C646BC">
      <w:pPr>
        <w:spacing w:line="276" w:lineRule="auto"/>
        <w:jc w:val="both"/>
        <w:rPr>
          <w:rFonts w:ascii="Arial" w:hAnsi="Arial" w:cs="Arial"/>
          <w:i/>
          <w:iCs/>
        </w:rPr>
      </w:pPr>
      <w:r w:rsidRPr="001A4453">
        <w:rPr>
          <w:rFonts w:ascii="Arial" w:hAnsi="Arial" w:cs="Arial"/>
          <w:b/>
          <w:bCs/>
          <w:i/>
          <w:iCs/>
        </w:rPr>
        <w:t xml:space="preserve">Proposal </w:t>
      </w:r>
      <w:r>
        <w:rPr>
          <w:rFonts w:ascii="Arial" w:hAnsi="Arial" w:cs="Arial"/>
          <w:b/>
          <w:bCs/>
          <w:i/>
          <w:iCs/>
        </w:rPr>
        <w:t>4</w:t>
      </w:r>
      <w:r w:rsidRPr="001A4453">
        <w:rPr>
          <w:rFonts w:ascii="Arial" w:hAnsi="Arial" w:cs="Arial"/>
          <w:b/>
          <w:bCs/>
          <w:i/>
          <w:iCs/>
        </w:rPr>
        <w:t>:</w:t>
      </w:r>
      <w:r w:rsidRPr="001A4453">
        <w:rPr>
          <w:rFonts w:ascii="Arial" w:hAnsi="Arial" w:cs="Arial"/>
          <w:i/>
          <w:iCs/>
        </w:rPr>
        <w:t xml:space="preserve"> </w:t>
      </w:r>
      <w:r>
        <w:rPr>
          <w:rFonts w:ascii="Arial" w:hAnsi="Arial" w:cs="Arial"/>
          <w:i/>
          <w:iCs/>
        </w:rPr>
        <w:t>Support RS transmission based on candidate RSs</w:t>
      </w:r>
      <w:r w:rsidRPr="001A4453">
        <w:rPr>
          <w:rFonts w:ascii="Arial" w:hAnsi="Arial" w:cs="Arial"/>
          <w:i/>
          <w:iCs/>
        </w:rPr>
        <w:t xml:space="preserve"> </w:t>
      </w:r>
      <w:r>
        <w:rPr>
          <w:rFonts w:ascii="Arial" w:hAnsi="Arial" w:cs="Arial"/>
          <w:i/>
          <w:iCs/>
        </w:rPr>
        <w:t>when</w:t>
      </w:r>
      <w:r w:rsidRPr="001A4453">
        <w:rPr>
          <w:rFonts w:ascii="Arial" w:hAnsi="Arial" w:cs="Arial"/>
          <w:i/>
          <w:iCs/>
        </w:rPr>
        <w:t xml:space="preserve"> LBT fails </w:t>
      </w:r>
      <w:r>
        <w:rPr>
          <w:rFonts w:ascii="Arial" w:hAnsi="Arial" w:cs="Arial"/>
          <w:i/>
          <w:iCs/>
        </w:rPr>
        <w:t>for periodic/semi-persistent RSs.</w:t>
      </w:r>
    </w:p>
    <w:p w14:paraId="07565388" w14:textId="77777777" w:rsidR="00C646BC" w:rsidRPr="001A4453" w:rsidRDefault="00C646BC" w:rsidP="00C646BC">
      <w:pPr>
        <w:spacing w:line="276" w:lineRule="auto"/>
        <w:jc w:val="both"/>
        <w:rPr>
          <w:rFonts w:ascii="Arial" w:hAnsi="Arial" w:cs="Arial"/>
          <w:i/>
          <w:iCs/>
        </w:rPr>
      </w:pPr>
      <w:r w:rsidRPr="00CE47F4">
        <w:rPr>
          <w:rFonts w:ascii="Arial" w:hAnsi="Arial" w:cs="Arial"/>
          <w:b/>
          <w:bCs/>
          <w:i/>
          <w:iCs/>
        </w:rPr>
        <w:t>Proposal</w:t>
      </w:r>
      <w:r>
        <w:rPr>
          <w:rFonts w:ascii="Arial" w:hAnsi="Arial" w:cs="Arial"/>
          <w:b/>
          <w:bCs/>
          <w:i/>
          <w:iCs/>
        </w:rPr>
        <w:t xml:space="preserve"> 5</w:t>
      </w:r>
      <w:r w:rsidRPr="00CE47F4">
        <w:rPr>
          <w:rFonts w:ascii="Arial" w:hAnsi="Arial" w:cs="Arial"/>
          <w:b/>
          <w:bCs/>
          <w:i/>
          <w:iCs/>
        </w:rPr>
        <w:t xml:space="preserve">: </w:t>
      </w:r>
      <w:r w:rsidRPr="00102C78">
        <w:rPr>
          <w:rFonts w:ascii="Arial" w:hAnsi="Arial" w:cs="Arial"/>
          <w:i/>
          <w:iCs/>
        </w:rPr>
        <w:t>Support RS pre-emption based on gNB indication to achieve</w:t>
      </w:r>
      <w:r w:rsidRPr="00102C78">
        <w:rPr>
          <w:rFonts w:ascii="Arial" w:hAnsi="Arial" w:cs="Arial"/>
          <w:bCs/>
          <w:i/>
          <w:iCs/>
        </w:rPr>
        <w:t xml:space="preserve"> accurate fine time/frequency tracking, beam failure recovery and beam/CSI.</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0D579E44" w14:textId="77777777" w:rsidR="005A55DF" w:rsidRPr="007E3DAE" w:rsidRDefault="005A55DF" w:rsidP="005A55DF">
      <w:pPr>
        <w:pStyle w:val="ListParagraph"/>
        <w:numPr>
          <w:ilvl w:val="0"/>
          <w:numId w:val="10"/>
        </w:numPr>
        <w:spacing w:after="80"/>
        <w:ind w:left="360" w:hanging="360"/>
        <w:rPr>
          <w:rFonts w:ascii="Arial" w:hAnsi="Arial" w:cs="Arial"/>
        </w:rPr>
      </w:pPr>
      <w:bookmarkStart w:id="7" w:name="_Ref521518965"/>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Pr>
          <w:rFonts w:ascii="Arial" w:eastAsia="SimSun" w:hAnsi="Arial" w:cs="Arial"/>
          <w:color w:val="000000"/>
        </w:rPr>
        <w:t>4b</w:t>
      </w:r>
      <w:r w:rsidRPr="00755528">
        <w:rPr>
          <w:rFonts w:ascii="Arial" w:eastAsia="SimSun" w:hAnsi="Arial" w:cs="Arial"/>
          <w:color w:val="000000"/>
        </w:rPr>
        <w:t>-e”, 3GPP RAN1 Meeting #10</w:t>
      </w:r>
      <w:r>
        <w:rPr>
          <w:rFonts w:ascii="Arial" w:eastAsia="SimSun" w:hAnsi="Arial" w:cs="Arial"/>
          <w:color w:val="000000"/>
        </w:rPr>
        <w:t>4b</w:t>
      </w:r>
      <w:r w:rsidRPr="00755528">
        <w:rPr>
          <w:rFonts w:ascii="Arial" w:eastAsia="SimSun" w:hAnsi="Arial" w:cs="Arial"/>
          <w:color w:val="000000"/>
        </w:rPr>
        <w:t xml:space="preserve">-e, e-Meeting, </w:t>
      </w:r>
      <w:r w:rsidRPr="00B56159">
        <w:rPr>
          <w:rFonts w:ascii="Arial" w:eastAsia="SimSun" w:hAnsi="Arial" w:cs="Arial"/>
          <w:color w:val="000000"/>
        </w:rPr>
        <w:t>April 12</w:t>
      </w:r>
      <w:r w:rsidRPr="00E24999">
        <w:rPr>
          <w:rFonts w:ascii="Arial" w:eastAsia="SimSun" w:hAnsi="Arial" w:cs="Arial"/>
          <w:color w:val="000000"/>
          <w:vertAlign w:val="superscript"/>
        </w:rPr>
        <w:t>th</w:t>
      </w:r>
      <w:r w:rsidRPr="00B56159">
        <w:rPr>
          <w:rFonts w:ascii="Arial" w:eastAsia="SimSun" w:hAnsi="Arial" w:cs="Arial"/>
          <w:color w:val="000000"/>
        </w:rPr>
        <w:t xml:space="preserve"> – 20</w:t>
      </w:r>
      <w:r w:rsidRPr="00E24999">
        <w:rPr>
          <w:rFonts w:ascii="Arial" w:eastAsia="SimSun" w:hAnsi="Arial" w:cs="Arial"/>
          <w:color w:val="000000"/>
          <w:vertAlign w:val="superscript"/>
        </w:rPr>
        <w:t>th</w:t>
      </w:r>
      <w:r>
        <w:rPr>
          <w:rFonts w:ascii="Arial" w:eastAsia="SimSun" w:hAnsi="Arial" w:cs="Arial"/>
          <w:color w:val="000000"/>
        </w:rPr>
        <w:t>,</w:t>
      </w:r>
    </w:p>
    <w:p w14:paraId="1CAEB2B2" w14:textId="30967535" w:rsidR="0056379D" w:rsidRPr="007E3DAE" w:rsidRDefault="0056379D" w:rsidP="0056379D">
      <w:pPr>
        <w:pStyle w:val="ListParagraph"/>
        <w:numPr>
          <w:ilvl w:val="0"/>
          <w:numId w:val="10"/>
        </w:numPr>
        <w:spacing w:after="80"/>
        <w:ind w:left="360" w:hanging="360"/>
        <w:rPr>
          <w:rFonts w:ascii="Arial" w:hAnsi="Arial" w:cs="Arial"/>
        </w:rPr>
      </w:pPr>
      <w:r w:rsidRPr="00755528">
        <w:rPr>
          <w:rFonts w:ascii="Arial" w:eastAsia="SimSun" w:hAnsi="Arial" w:cs="Arial"/>
          <w:color w:val="000000"/>
        </w:rPr>
        <w:t xml:space="preserve">“Final </w:t>
      </w:r>
      <w:r w:rsidRPr="00755528">
        <w:rPr>
          <w:rFonts w:ascii="Arial" w:hAnsi="Arial" w:cs="Arial"/>
        </w:rPr>
        <w:t>Report</w:t>
      </w:r>
      <w:r w:rsidRPr="00755528">
        <w:rPr>
          <w:rFonts w:ascii="Arial" w:eastAsia="SimSun" w:hAnsi="Arial" w:cs="Arial"/>
          <w:color w:val="000000"/>
        </w:rPr>
        <w:t xml:space="preserve"> of 3GPP TSG RAN WG1 #10</w:t>
      </w:r>
      <w:r w:rsidR="00B360D6">
        <w:rPr>
          <w:rFonts w:ascii="Arial" w:eastAsia="SimSun" w:hAnsi="Arial" w:cs="Arial"/>
          <w:color w:val="000000"/>
        </w:rPr>
        <w:t>6</w:t>
      </w:r>
      <w:r w:rsidR="00E92EBA">
        <w:rPr>
          <w:rFonts w:ascii="Arial" w:eastAsia="SimSun" w:hAnsi="Arial" w:cs="Arial"/>
          <w:color w:val="000000"/>
        </w:rPr>
        <w:t>bis</w:t>
      </w:r>
      <w:r w:rsidRPr="00755528">
        <w:rPr>
          <w:rFonts w:ascii="Arial" w:eastAsia="SimSun" w:hAnsi="Arial" w:cs="Arial"/>
          <w:color w:val="000000"/>
        </w:rPr>
        <w:t>-e”, 3GPP RAN1 Meeting #10</w:t>
      </w:r>
      <w:r w:rsidR="00B360D6">
        <w:rPr>
          <w:rFonts w:ascii="Arial" w:eastAsia="SimSun" w:hAnsi="Arial" w:cs="Arial"/>
          <w:color w:val="000000"/>
        </w:rPr>
        <w:t>6</w:t>
      </w:r>
      <w:r w:rsidRPr="00755528">
        <w:rPr>
          <w:rFonts w:ascii="Arial" w:eastAsia="SimSun" w:hAnsi="Arial" w:cs="Arial"/>
          <w:color w:val="000000"/>
        </w:rPr>
        <w:t xml:space="preserve">-e, </w:t>
      </w:r>
      <w:r w:rsidR="00B360D6" w:rsidRPr="00B360D6">
        <w:rPr>
          <w:rFonts w:ascii="Arial" w:eastAsia="SimSun" w:hAnsi="Arial" w:cs="Arial"/>
          <w:color w:val="000000"/>
        </w:rPr>
        <w:t xml:space="preserve">e-Meeting, </w:t>
      </w:r>
      <w:r w:rsidR="00C646BC">
        <w:rPr>
          <w:rFonts w:ascii="Arial" w:eastAsia="SimSun" w:hAnsi="Arial" w:cs="Arial"/>
          <w:color w:val="000000"/>
        </w:rPr>
        <w:t>October</w:t>
      </w:r>
      <w:r w:rsidR="00C646BC" w:rsidRPr="00B360D6">
        <w:rPr>
          <w:rFonts w:ascii="Arial" w:eastAsia="SimSun" w:hAnsi="Arial" w:cs="Arial"/>
          <w:color w:val="000000"/>
        </w:rPr>
        <w:t xml:space="preserve"> </w:t>
      </w:r>
      <w:r w:rsidR="00C646BC">
        <w:rPr>
          <w:rFonts w:ascii="Arial" w:eastAsia="SimSun" w:hAnsi="Arial" w:cs="Arial"/>
          <w:color w:val="000000"/>
        </w:rPr>
        <w:t>11</w:t>
      </w:r>
      <w:r w:rsidR="00C646BC" w:rsidRPr="00E66B36">
        <w:rPr>
          <w:rFonts w:ascii="Arial" w:eastAsia="SimSun" w:hAnsi="Arial" w:cs="Arial"/>
          <w:color w:val="000000"/>
          <w:vertAlign w:val="superscript"/>
        </w:rPr>
        <w:t>th</w:t>
      </w:r>
      <w:r w:rsidR="00C646BC" w:rsidRPr="00B360D6">
        <w:rPr>
          <w:rFonts w:ascii="Arial" w:eastAsia="SimSun" w:hAnsi="Arial" w:cs="Arial"/>
          <w:color w:val="000000"/>
        </w:rPr>
        <w:t xml:space="preserve"> </w:t>
      </w:r>
      <w:r w:rsidR="00B360D6" w:rsidRPr="00B360D6">
        <w:rPr>
          <w:rFonts w:ascii="Arial" w:eastAsia="SimSun" w:hAnsi="Arial" w:cs="Arial"/>
          <w:color w:val="000000"/>
        </w:rPr>
        <w:t xml:space="preserve">– </w:t>
      </w:r>
      <w:r w:rsidR="00C646BC">
        <w:rPr>
          <w:rFonts w:ascii="Arial" w:eastAsia="SimSun" w:hAnsi="Arial" w:cs="Arial"/>
          <w:color w:val="000000"/>
        </w:rPr>
        <w:t>19</w:t>
      </w:r>
      <w:r w:rsidR="00C646BC" w:rsidRPr="00E66B36">
        <w:rPr>
          <w:rFonts w:ascii="Arial" w:eastAsia="SimSun" w:hAnsi="Arial" w:cs="Arial"/>
          <w:color w:val="000000"/>
          <w:vertAlign w:val="superscript"/>
        </w:rPr>
        <w:t>th</w:t>
      </w:r>
      <w:r w:rsidR="00B360D6" w:rsidRPr="00B360D6">
        <w:rPr>
          <w:rFonts w:ascii="Arial" w:eastAsia="SimSun" w:hAnsi="Arial" w:cs="Arial"/>
          <w:color w:val="000000"/>
        </w:rPr>
        <w:t>, 2021</w:t>
      </w:r>
      <w:r w:rsidR="0055626B">
        <w:rPr>
          <w:rFonts w:ascii="Arial" w:eastAsia="SimSun" w:hAnsi="Arial" w:cs="Arial"/>
          <w:color w:val="000000"/>
        </w:rPr>
        <w:t>,</w:t>
      </w:r>
    </w:p>
    <w:p w14:paraId="29175BA3" w14:textId="0E7E097F" w:rsidR="007E3DAE" w:rsidRDefault="00B407DC" w:rsidP="00317E31">
      <w:pPr>
        <w:pStyle w:val="ListParagraph"/>
        <w:numPr>
          <w:ilvl w:val="0"/>
          <w:numId w:val="10"/>
        </w:numPr>
        <w:spacing w:after="80"/>
        <w:rPr>
          <w:rFonts w:ascii="Arial" w:hAnsi="Arial" w:cs="Arial"/>
        </w:rPr>
      </w:pPr>
      <w:r w:rsidRPr="00B407DC">
        <w:rPr>
          <w:rFonts w:ascii="Arial" w:hAnsi="Arial" w:cs="Arial"/>
        </w:rPr>
        <w:t>3GPP TS 38.</w:t>
      </w:r>
      <w:r w:rsidR="00220ACE">
        <w:rPr>
          <w:rFonts w:ascii="Arial" w:hAnsi="Arial" w:cs="Arial"/>
        </w:rPr>
        <w:t>3</w:t>
      </w:r>
      <w:r w:rsidRPr="00B407DC">
        <w:rPr>
          <w:rFonts w:ascii="Arial" w:hAnsi="Arial" w:cs="Arial"/>
        </w:rPr>
        <w:t>06 (v16.4.0): “User Equipment (UE) radio access capabilities</w:t>
      </w:r>
      <w:r>
        <w:rPr>
          <w:rFonts w:ascii="Arial" w:hAnsi="Arial" w:cs="Arial"/>
        </w:rPr>
        <w:t xml:space="preserve"> </w:t>
      </w:r>
      <w:r w:rsidRPr="00B407DC">
        <w:rPr>
          <w:rFonts w:ascii="Arial" w:hAnsi="Arial" w:cs="Arial"/>
        </w:rPr>
        <w:t>(Release 16)</w:t>
      </w:r>
      <w:r>
        <w:rPr>
          <w:rFonts w:ascii="Arial" w:hAnsi="Arial" w:cs="Arial"/>
        </w:rPr>
        <w:t>”</w:t>
      </w:r>
      <w:r w:rsidR="0056379D">
        <w:rPr>
          <w:rFonts w:ascii="Arial" w:hAnsi="Arial" w:cs="Arial"/>
        </w:rPr>
        <w:t>,</w:t>
      </w:r>
    </w:p>
    <w:p w14:paraId="6888B627" w14:textId="67D9F38D" w:rsidR="00B407DC" w:rsidRPr="00B407DC" w:rsidRDefault="00B407DC" w:rsidP="00317E31">
      <w:pPr>
        <w:pStyle w:val="ListParagraph"/>
        <w:numPr>
          <w:ilvl w:val="0"/>
          <w:numId w:val="10"/>
        </w:numPr>
        <w:spacing w:after="80"/>
        <w:rPr>
          <w:rFonts w:ascii="Arial" w:hAnsi="Arial" w:cs="Arial"/>
        </w:rPr>
      </w:pPr>
      <w:r w:rsidRPr="00B407DC">
        <w:rPr>
          <w:rFonts w:ascii="Arial" w:hAnsi="Arial" w:cs="Arial"/>
        </w:rPr>
        <w:t>3GPP TS 38.214</w:t>
      </w:r>
      <w:r>
        <w:rPr>
          <w:rFonts w:ascii="Arial" w:hAnsi="Arial" w:cs="Arial"/>
        </w:rPr>
        <w:t xml:space="preserve"> (v16.2.0): “</w:t>
      </w:r>
      <w:r w:rsidRPr="00B407DC">
        <w:rPr>
          <w:rFonts w:ascii="Arial" w:hAnsi="Arial" w:cs="Arial"/>
        </w:rPr>
        <w:t>Physical layer procedures for data</w:t>
      </w:r>
      <w:r>
        <w:rPr>
          <w:rFonts w:ascii="Arial" w:hAnsi="Arial" w:cs="Arial"/>
        </w:rPr>
        <w:t xml:space="preserve"> (Release 16)”</w:t>
      </w:r>
      <w:r w:rsidR="0056379D">
        <w:rPr>
          <w:rFonts w:ascii="Arial" w:hAnsi="Arial" w:cs="Arial"/>
        </w:rPr>
        <w:t>,</w:t>
      </w:r>
    </w:p>
    <w:p w14:paraId="2C9660C8" w14:textId="480ED3D8" w:rsidR="001B01FC" w:rsidRPr="00755528" w:rsidRDefault="001B01FC" w:rsidP="00133AB1">
      <w:pPr>
        <w:pStyle w:val="ListParagraph"/>
        <w:numPr>
          <w:ilvl w:val="0"/>
          <w:numId w:val="10"/>
        </w:numPr>
        <w:rPr>
          <w:rFonts w:ascii="Arial" w:hAnsi="Arial" w:cs="Arial"/>
        </w:rPr>
      </w:pPr>
      <w:r w:rsidRPr="00755528">
        <w:rPr>
          <w:rFonts w:ascii="Arial" w:hAnsi="Arial" w:cs="Arial"/>
        </w:rPr>
        <w:t>3GPP TR 38.901 (v15.0.0): “Study on channel model for frequencies from 0.5 to 100 GHz (Release 15)”</w:t>
      </w:r>
      <w:r w:rsidR="005C61C5" w:rsidRPr="00755528">
        <w:rPr>
          <w:rFonts w:ascii="Arial" w:hAnsi="Arial" w:cs="Arial"/>
        </w:rPr>
        <w:t>.</w:t>
      </w:r>
    </w:p>
    <w:bookmarkEnd w:id="7"/>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0B3DC" w14:textId="77777777" w:rsidR="003B3A1D" w:rsidRDefault="003B3A1D">
      <w:r>
        <w:separator/>
      </w:r>
    </w:p>
  </w:endnote>
  <w:endnote w:type="continuationSeparator" w:id="0">
    <w:p w14:paraId="7E7EBA61" w14:textId="77777777" w:rsidR="003B3A1D" w:rsidRDefault="003B3A1D">
      <w:r>
        <w:continuationSeparator/>
      </w:r>
    </w:p>
  </w:endnote>
  <w:endnote w:type="continuationNotice" w:id="1">
    <w:p w14:paraId="313DF01D" w14:textId="77777777" w:rsidR="003B3A1D" w:rsidRDefault="003B3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C8EC6" w14:textId="77777777" w:rsidR="003B3A1D" w:rsidRDefault="003B3A1D">
      <w:r>
        <w:separator/>
      </w:r>
    </w:p>
  </w:footnote>
  <w:footnote w:type="continuationSeparator" w:id="0">
    <w:p w14:paraId="1DCE38DD" w14:textId="77777777" w:rsidR="003B3A1D" w:rsidRDefault="003B3A1D">
      <w:r>
        <w:continuationSeparator/>
      </w:r>
    </w:p>
  </w:footnote>
  <w:footnote w:type="continuationNotice" w:id="1">
    <w:p w14:paraId="38B79140" w14:textId="77777777" w:rsidR="003B3A1D" w:rsidRDefault="003B3A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13"/>
  </w:num>
  <w:num w:numId="4">
    <w:abstractNumId w:val="14"/>
  </w:num>
  <w:num w:numId="5">
    <w:abstractNumId w:val="9"/>
  </w:num>
  <w:num w:numId="6">
    <w:abstractNumId w:val="16"/>
  </w:num>
  <w:num w:numId="7">
    <w:abstractNumId w:val="22"/>
  </w:num>
  <w:num w:numId="8">
    <w:abstractNumId w:val="10"/>
  </w:num>
  <w:num w:numId="9">
    <w:abstractNumId w:val="29"/>
  </w:num>
  <w:num w:numId="10">
    <w:abstractNumId w:val="12"/>
  </w:num>
  <w:num w:numId="11">
    <w:abstractNumId w:val="24"/>
  </w:num>
  <w:num w:numId="12">
    <w:abstractNumId w:val="20"/>
  </w:num>
  <w:num w:numId="13">
    <w:abstractNumId w:val="31"/>
  </w:num>
  <w:num w:numId="14">
    <w:abstractNumId w:val="21"/>
  </w:num>
  <w:num w:numId="15">
    <w:abstractNumId w:val="6"/>
  </w:num>
  <w:num w:numId="16">
    <w:abstractNumId w:val="18"/>
  </w:num>
  <w:num w:numId="17">
    <w:abstractNumId w:val="26"/>
  </w:num>
  <w:num w:numId="18">
    <w:abstractNumId w:val="11"/>
  </w:num>
  <w:num w:numId="19">
    <w:abstractNumId w:val="4"/>
  </w:num>
  <w:num w:numId="20">
    <w:abstractNumId w:val="17"/>
  </w:num>
  <w:num w:numId="21">
    <w:abstractNumId w:val="5"/>
  </w:num>
  <w:num w:numId="22">
    <w:abstractNumId w:val="2"/>
  </w:num>
  <w:num w:numId="23">
    <w:abstractNumId w:val="28"/>
  </w:num>
  <w:num w:numId="24">
    <w:abstractNumId w:val="25"/>
  </w:num>
  <w:num w:numId="25">
    <w:abstractNumId w:val="8"/>
  </w:num>
  <w:num w:numId="26">
    <w:abstractNumId w:val="23"/>
  </w:num>
  <w:num w:numId="27">
    <w:abstractNumId w:val="30"/>
  </w:num>
  <w:num w:numId="28">
    <w:abstractNumId w:val="32"/>
  </w:num>
  <w:num w:numId="29">
    <w:abstractNumId w:val="28"/>
  </w:num>
  <w:num w:numId="30">
    <w:abstractNumId w:val="3"/>
  </w:num>
  <w:num w:numId="31">
    <w:abstractNumId w:val="15"/>
  </w:num>
  <w:num w:numId="32">
    <w:abstractNumId w:val="27"/>
  </w:num>
  <w:num w:numId="33">
    <w:abstractNumId w:val="1"/>
  </w:num>
  <w:num w:numId="34">
    <w:abstractNumId w:val="30"/>
  </w:num>
  <w:num w:numId="35">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4B58"/>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98"/>
    <w:rsid w:val="00E71515"/>
    <w:rsid w:val="00E71A10"/>
    <w:rsid w:val="00E71B86"/>
    <w:rsid w:val="00E720C1"/>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6FC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16F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6FC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692EC-629B-4673-B47E-E783CA127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2021-11-05T23:51:00Z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